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0E" w:rsidRDefault="00E57FED" w:rsidP="00125D11">
      <w:pPr>
        <w:pStyle w:val="Heading1"/>
      </w:pPr>
      <w:r>
        <w:rPr>
          <w:noProof/>
          <w:lang w:val="da-DK" w:eastAsia="da-DK"/>
        </w:rPr>
        <w:drawing>
          <wp:inline distT="0" distB="0" distL="0" distR="0" wp14:anchorId="40FD9B32" wp14:editId="5C3792FF">
            <wp:extent cx="5731510" cy="3157296"/>
            <wp:effectExtent l="0" t="0" r="2540" b="5080"/>
            <wp:docPr id="7" name="Picture 7" descr="C:\Users\tina\Downloads\NordicSummitNTNU-8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Downloads\NordicSummitNTNU-85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157296"/>
                    </a:xfrm>
                    <a:prstGeom prst="rect">
                      <a:avLst/>
                    </a:prstGeom>
                    <a:noFill/>
                    <a:ln>
                      <a:noFill/>
                    </a:ln>
                  </pic:spPr>
                </pic:pic>
              </a:graphicData>
            </a:graphic>
          </wp:inline>
        </w:drawing>
      </w:r>
    </w:p>
    <w:p w:rsidR="000E5402" w:rsidRPr="00CA010E" w:rsidRDefault="00E57FED" w:rsidP="00CA010E">
      <w:pPr>
        <w:pStyle w:val="NoSpacing"/>
        <w:rPr>
          <w:sz w:val="16"/>
          <w:lang w:val="en-US"/>
        </w:rPr>
      </w:pPr>
      <w:r>
        <w:rPr>
          <w:sz w:val="16"/>
        </w:rPr>
        <w:t xml:space="preserve">Some representatives of the N5T organization group for the Nordic Summit on Universities for Impact at Trondheim June 2016 </w:t>
      </w:r>
    </w:p>
    <w:p w:rsidR="000E5402" w:rsidRDefault="000E5402" w:rsidP="000E5402">
      <w:pPr>
        <w:pStyle w:val="Heading1"/>
        <w:rPr>
          <w:b/>
          <w:sz w:val="40"/>
          <w:lang w:val="en-US"/>
        </w:rPr>
      </w:pPr>
      <w:r w:rsidRPr="000E5402">
        <w:rPr>
          <w:b/>
          <w:sz w:val="40"/>
          <w:lang w:val="en-US"/>
        </w:rPr>
        <w:t>Nordic Fiv</w:t>
      </w:r>
      <w:r w:rsidR="00E57FED">
        <w:rPr>
          <w:b/>
          <w:sz w:val="40"/>
          <w:lang w:val="en-US"/>
        </w:rPr>
        <w:t xml:space="preserve">e Tech (N5T): </w:t>
      </w:r>
      <w:r w:rsidR="00AE4D02">
        <w:rPr>
          <w:b/>
          <w:sz w:val="40"/>
          <w:lang w:val="en-US"/>
        </w:rPr>
        <w:t xml:space="preserve">Annual </w:t>
      </w:r>
      <w:r w:rsidR="00E57FED">
        <w:rPr>
          <w:b/>
          <w:sz w:val="40"/>
          <w:lang w:val="en-US"/>
        </w:rPr>
        <w:t>Report 2016 – 2017</w:t>
      </w:r>
    </w:p>
    <w:p w:rsidR="00AC68C3" w:rsidRDefault="00AC68C3" w:rsidP="006A07AF">
      <w:pPr>
        <w:rPr>
          <w:lang w:val="en-GB"/>
        </w:rPr>
      </w:pPr>
    </w:p>
    <w:p w:rsidR="006A07AF" w:rsidRPr="00AC68C3" w:rsidRDefault="006A07AF" w:rsidP="006A07AF">
      <w:pPr>
        <w:rPr>
          <w:lang w:val="en-US"/>
        </w:rPr>
      </w:pPr>
      <w:r w:rsidRPr="00AC68C3">
        <w:rPr>
          <w:lang w:val="en-GB"/>
        </w:rPr>
        <w:t xml:space="preserve">The </w:t>
      </w:r>
      <w:r w:rsidR="00AE4D02">
        <w:rPr>
          <w:lang w:val="en-GB"/>
        </w:rPr>
        <w:t>annual</w:t>
      </w:r>
      <w:r w:rsidRPr="00AC68C3">
        <w:rPr>
          <w:lang w:val="en-GB"/>
        </w:rPr>
        <w:t xml:space="preserve"> report gives an update on </w:t>
      </w:r>
      <w:r w:rsidR="004964F4" w:rsidRPr="00AC68C3">
        <w:rPr>
          <w:lang w:val="en-GB"/>
        </w:rPr>
        <w:t>N5T</w:t>
      </w:r>
      <w:r w:rsidRPr="00AC68C3">
        <w:rPr>
          <w:lang w:val="en-GB"/>
        </w:rPr>
        <w:t xml:space="preserve"> collaboration relating to education, research, innovation and industry relations, communication and organization. </w:t>
      </w:r>
    </w:p>
    <w:p w:rsidR="00992F81" w:rsidRPr="00AC68C3" w:rsidRDefault="00992F81" w:rsidP="00992F81">
      <w:pPr>
        <w:rPr>
          <w:lang w:val="en-US"/>
        </w:rPr>
      </w:pPr>
      <w:r w:rsidRPr="00AC68C3">
        <w:rPr>
          <w:lang w:val="en-US"/>
        </w:rPr>
        <w:t xml:space="preserve">The </w:t>
      </w:r>
      <w:r w:rsidR="004964F4" w:rsidRPr="00AC68C3">
        <w:rPr>
          <w:lang w:val="en-US"/>
        </w:rPr>
        <w:t>N5T</w:t>
      </w:r>
      <w:r w:rsidRPr="00AC68C3">
        <w:rPr>
          <w:lang w:val="en-US"/>
        </w:rPr>
        <w:t xml:space="preserve"> universities - Aalto, Chalmers, DTU, KTH and NTNU – celebrated their 10</w:t>
      </w:r>
      <w:r w:rsidRPr="00AC68C3">
        <w:rPr>
          <w:vertAlign w:val="superscript"/>
          <w:lang w:val="en-US"/>
        </w:rPr>
        <w:t>th</w:t>
      </w:r>
      <w:r w:rsidRPr="00AC68C3">
        <w:rPr>
          <w:lang w:val="en-US"/>
        </w:rPr>
        <w:t xml:space="preserve"> anniversary in Trondheim 7-9 June 2016.  In her anniversary speech, Tuula Teeri, President of Aalto, said that “the most tangible results thus far have been the establishment of 7 joint master program</w:t>
      </w:r>
      <w:r w:rsidR="000C7A9D" w:rsidRPr="00AC68C3">
        <w:rPr>
          <w:lang w:val="en-US"/>
        </w:rPr>
        <w:t>me</w:t>
      </w:r>
      <w:r w:rsidRPr="00AC68C3">
        <w:rPr>
          <w:lang w:val="en-US"/>
        </w:rPr>
        <w:t>s with Nordic Council funding, the launch of a joint PhD course database, and the peer evaluation of some 45 master program</w:t>
      </w:r>
      <w:r w:rsidR="000C7A9D" w:rsidRPr="00AC68C3">
        <w:rPr>
          <w:lang w:val="en-US"/>
        </w:rPr>
        <w:t>me</w:t>
      </w:r>
      <w:r w:rsidRPr="00AC68C3">
        <w:rPr>
          <w:lang w:val="en-US"/>
        </w:rPr>
        <w:t xml:space="preserve">s at the partner universities.” </w:t>
      </w:r>
    </w:p>
    <w:p w:rsidR="00992F81" w:rsidRPr="00AC68C3" w:rsidRDefault="000C7A9D" w:rsidP="00992F81">
      <w:pPr>
        <w:rPr>
          <w:lang w:val="en-US"/>
        </w:rPr>
      </w:pPr>
      <w:r w:rsidRPr="00AC68C3">
        <w:rPr>
          <w:lang w:val="en-US"/>
        </w:rPr>
        <w:t>At the Rector</w:t>
      </w:r>
      <w:r w:rsidR="00992F81" w:rsidRPr="00AC68C3">
        <w:rPr>
          <w:lang w:val="en-US"/>
        </w:rPr>
        <w:t>s</w:t>
      </w:r>
      <w:r w:rsidRPr="00AC68C3">
        <w:rPr>
          <w:lang w:val="en-US"/>
        </w:rPr>
        <w:t>’</w:t>
      </w:r>
      <w:r w:rsidR="00992F81" w:rsidRPr="00AC68C3">
        <w:rPr>
          <w:lang w:val="en-US"/>
        </w:rPr>
        <w:t xml:space="preserve"> meeting, the </w:t>
      </w:r>
      <w:r w:rsidR="00002F9B">
        <w:rPr>
          <w:lang w:val="en-US"/>
        </w:rPr>
        <w:t>Rectors</w:t>
      </w:r>
      <w:r w:rsidR="00992F81" w:rsidRPr="00AC68C3">
        <w:rPr>
          <w:lang w:val="en-US"/>
        </w:rPr>
        <w:t xml:space="preserve"> of the </w:t>
      </w:r>
      <w:r w:rsidR="004964F4" w:rsidRPr="00AC68C3">
        <w:rPr>
          <w:lang w:val="en-US"/>
        </w:rPr>
        <w:t>N5T</w:t>
      </w:r>
      <w:r w:rsidR="00992F81" w:rsidRPr="00AC68C3">
        <w:rPr>
          <w:lang w:val="en-US"/>
        </w:rPr>
        <w:t xml:space="preserve"> universities adopted a new strategy and actio</w:t>
      </w:r>
      <w:r w:rsidR="00AC68C3" w:rsidRPr="00AC68C3">
        <w:rPr>
          <w:lang w:val="en-US"/>
        </w:rPr>
        <w:t>n plan for the coming year. There</w:t>
      </w:r>
      <w:r w:rsidR="00992F81" w:rsidRPr="00AC68C3">
        <w:rPr>
          <w:lang w:val="en-US"/>
        </w:rPr>
        <w:t xml:space="preserve"> </w:t>
      </w:r>
      <w:r w:rsidR="00E57FED" w:rsidRPr="00AC68C3">
        <w:rPr>
          <w:lang w:val="en-US"/>
        </w:rPr>
        <w:t>are</w:t>
      </w:r>
      <w:r w:rsidR="00992F81" w:rsidRPr="00AC68C3">
        <w:rPr>
          <w:lang w:val="en-US"/>
        </w:rPr>
        <w:t xml:space="preserve"> high ambitions for </w:t>
      </w:r>
      <w:hyperlink r:id="rId9" w:history="1">
        <w:r w:rsidR="004964F4" w:rsidRPr="00AC68C3">
          <w:t>N5T</w:t>
        </w:r>
      </w:hyperlink>
      <w:r w:rsidR="00992F81" w:rsidRPr="00AC68C3">
        <w:rPr>
          <w:lang w:val="en-US"/>
        </w:rPr>
        <w:t xml:space="preserve"> as an arena for mutual learning and quality development across administrative and academic functions, as well as an arena for academic collaboration in education, research and innovation – utilizing complementary competencies, infrastructures, activities and networks. </w:t>
      </w:r>
    </w:p>
    <w:p w:rsidR="00992F81" w:rsidRPr="00AC68C3" w:rsidRDefault="00992F81" w:rsidP="00992F81">
      <w:pPr>
        <w:rPr>
          <w:lang w:val="en-US"/>
        </w:rPr>
      </w:pPr>
      <w:r w:rsidRPr="00AC68C3">
        <w:rPr>
          <w:lang w:val="en-US"/>
        </w:rPr>
        <w:t>The “</w:t>
      </w:r>
      <w:hyperlink r:id="rId10" w:history="1">
        <w:r w:rsidRPr="00AC68C3">
          <w:t>Nordic Summit on Universities for Impact</w:t>
        </w:r>
      </w:hyperlink>
      <w:r w:rsidR="0077699B" w:rsidRPr="00AC68C3">
        <w:rPr>
          <w:lang w:val="en-US"/>
        </w:rPr>
        <w:t xml:space="preserve">” which took place on </w:t>
      </w:r>
      <w:r w:rsidRPr="00AC68C3">
        <w:rPr>
          <w:lang w:val="en-US"/>
        </w:rPr>
        <w:t>June</w:t>
      </w:r>
      <w:r w:rsidR="0077699B" w:rsidRPr="00AC68C3">
        <w:rPr>
          <w:lang w:val="en-US"/>
        </w:rPr>
        <w:t xml:space="preserve"> 8</w:t>
      </w:r>
      <w:r w:rsidR="0077699B" w:rsidRPr="00AC68C3">
        <w:rPr>
          <w:vertAlign w:val="superscript"/>
          <w:lang w:val="en-US"/>
        </w:rPr>
        <w:t>th</w:t>
      </w:r>
      <w:r w:rsidR="00A73E7F">
        <w:rPr>
          <w:lang w:val="en-US"/>
        </w:rPr>
        <w:t xml:space="preserve"> in Trondheim,</w:t>
      </w:r>
      <w:r w:rsidRPr="00AC68C3">
        <w:rPr>
          <w:lang w:val="en-US"/>
        </w:rPr>
        <w:t xml:space="preserve"> gathered some 80 leaders from industry, public sector and</w:t>
      </w:r>
      <w:r w:rsidR="0077699B" w:rsidRPr="00AC68C3">
        <w:rPr>
          <w:lang w:val="en-US"/>
        </w:rPr>
        <w:t xml:space="preserve"> universities</w:t>
      </w:r>
      <w:r w:rsidRPr="00AC68C3">
        <w:rPr>
          <w:lang w:val="en-US"/>
        </w:rPr>
        <w:t xml:space="preserve">.  The presentations and cases clearly demonstrated that the university eco-system for innovation, co-creation and collaboration has a substantial impact on the competitiveness of the Nordic countries, societies and companies. International rankings of the </w:t>
      </w:r>
      <w:r w:rsidR="004964F4" w:rsidRPr="00AC68C3">
        <w:rPr>
          <w:lang w:val="en-US"/>
        </w:rPr>
        <w:t>N5T</w:t>
      </w:r>
      <w:r w:rsidRPr="00AC68C3">
        <w:rPr>
          <w:lang w:val="en-US"/>
        </w:rPr>
        <w:t xml:space="preserve"> universities confirm that it is possible to combine academic excellence with industry collaboration.  </w:t>
      </w:r>
    </w:p>
    <w:p w:rsidR="00462A75" w:rsidRDefault="000E5402" w:rsidP="00462A75">
      <w:pPr>
        <w:pStyle w:val="Heading1"/>
        <w:numPr>
          <w:ilvl w:val="0"/>
          <w:numId w:val="2"/>
        </w:numPr>
        <w:rPr>
          <w:lang w:val="en-GB"/>
        </w:rPr>
      </w:pPr>
      <w:r>
        <w:rPr>
          <w:lang w:val="en-GB"/>
        </w:rPr>
        <w:t>Education</w:t>
      </w:r>
    </w:p>
    <w:p w:rsidR="000E5402" w:rsidRPr="00D60155" w:rsidRDefault="000E5402" w:rsidP="00D60155">
      <w:pPr>
        <w:pStyle w:val="Heading1"/>
        <w:numPr>
          <w:ilvl w:val="1"/>
          <w:numId w:val="15"/>
        </w:numPr>
        <w:rPr>
          <w:sz w:val="26"/>
          <w:szCs w:val="26"/>
          <w:lang w:val="en-GB"/>
        </w:rPr>
      </w:pPr>
      <w:r w:rsidRPr="00D60155">
        <w:rPr>
          <w:sz w:val="26"/>
          <w:szCs w:val="26"/>
          <w:lang w:val="en-GB"/>
        </w:rPr>
        <w:t>Joint Master Programmes</w:t>
      </w:r>
    </w:p>
    <w:p w:rsidR="00B23552" w:rsidRDefault="007F6020" w:rsidP="006E1EC2">
      <w:pPr>
        <w:rPr>
          <w:lang w:val="en-GB"/>
        </w:rPr>
      </w:pPr>
      <w:r>
        <w:rPr>
          <w:lang w:val="en-GB"/>
        </w:rPr>
        <w:t>The joint master programmes</w:t>
      </w:r>
      <w:r w:rsidR="007754CE">
        <w:rPr>
          <w:lang w:val="en-GB"/>
        </w:rPr>
        <w:t xml:space="preserve"> (JMP)</w:t>
      </w:r>
      <w:r>
        <w:rPr>
          <w:lang w:val="en-GB"/>
        </w:rPr>
        <w:t xml:space="preserve"> are important trademarks of the alliance as well as </w:t>
      </w:r>
      <w:r w:rsidR="00AC68C3">
        <w:rPr>
          <w:lang w:val="en-GB"/>
        </w:rPr>
        <w:t xml:space="preserve">serving as </w:t>
      </w:r>
      <w:r>
        <w:rPr>
          <w:lang w:val="en-GB"/>
        </w:rPr>
        <w:t xml:space="preserve">strategic platforms for wider academic collaboration. </w:t>
      </w:r>
    </w:p>
    <w:p w:rsidR="006E1EC2" w:rsidRDefault="006E1EC2" w:rsidP="006E1EC2">
      <w:pPr>
        <w:jc w:val="both"/>
        <w:rPr>
          <w:lang w:val="en-US"/>
        </w:rPr>
      </w:pPr>
      <w:r>
        <w:rPr>
          <w:lang w:val="en-US"/>
        </w:rPr>
        <w:t xml:space="preserve">In the past year, the </w:t>
      </w:r>
      <w:r w:rsidR="00531628">
        <w:t>w</w:t>
      </w:r>
      <w:r w:rsidR="007754CE">
        <w:t xml:space="preserve">orking </w:t>
      </w:r>
      <w:r w:rsidR="00531628">
        <w:t>g</w:t>
      </w:r>
      <w:r w:rsidR="007754CE">
        <w:t>roup for joint master programmes (JMP WG)</w:t>
      </w:r>
      <w:r>
        <w:rPr>
          <w:lang w:val="en-US"/>
        </w:rPr>
        <w:t xml:space="preserve"> has been involved in the administrative coordination and implementation of the centralized a</w:t>
      </w:r>
      <w:r w:rsidR="006A07AF">
        <w:rPr>
          <w:lang w:val="en-US"/>
        </w:rPr>
        <w:t xml:space="preserve">dmission process. For the </w:t>
      </w:r>
      <w:r>
        <w:rPr>
          <w:lang w:val="en-US"/>
        </w:rPr>
        <w:t>2017 intake the admissions have been split bet</w:t>
      </w:r>
      <w:r w:rsidR="00AC68C3">
        <w:rPr>
          <w:lang w:val="en-US"/>
        </w:rPr>
        <w:t>ween three universities (DTU – three</w:t>
      </w:r>
      <w:r>
        <w:rPr>
          <w:lang w:val="en-US"/>
        </w:rPr>
        <w:t xml:space="preserve"> prog</w:t>
      </w:r>
      <w:r w:rsidR="00AC68C3">
        <w:rPr>
          <w:lang w:val="en-US"/>
        </w:rPr>
        <w:t>rammes, NTNU – one programme and KTH – one</w:t>
      </w:r>
      <w:r>
        <w:rPr>
          <w:lang w:val="en-US"/>
        </w:rPr>
        <w:t xml:space="preserve"> programme). At the meeting in September 2016 a</w:t>
      </w:r>
      <w:r w:rsidR="00AC68C3">
        <w:rPr>
          <w:lang w:val="en-US"/>
        </w:rPr>
        <w:t xml:space="preserve">dministrative coordinators </w:t>
      </w:r>
      <w:r>
        <w:rPr>
          <w:lang w:val="en-US"/>
        </w:rPr>
        <w:t xml:space="preserve">discussed and agreed on deadlines, common templates and practices in order to facilitate and </w:t>
      </w:r>
      <w:r w:rsidR="00AC68C3">
        <w:rPr>
          <w:lang w:val="en-US"/>
        </w:rPr>
        <w:t xml:space="preserve">unify the process. Moreover it was </w:t>
      </w:r>
      <w:r>
        <w:rPr>
          <w:lang w:val="en-US"/>
        </w:rPr>
        <w:t>decide</w:t>
      </w:r>
      <w:r w:rsidR="00AC68C3">
        <w:rPr>
          <w:lang w:val="en-US"/>
        </w:rPr>
        <w:t xml:space="preserve">d to update the </w:t>
      </w:r>
      <w:r>
        <w:rPr>
          <w:lang w:val="en-US"/>
        </w:rPr>
        <w:t xml:space="preserve">N5T </w:t>
      </w:r>
      <w:r w:rsidR="00AC68C3">
        <w:rPr>
          <w:lang w:val="en-US"/>
        </w:rPr>
        <w:t xml:space="preserve">Student </w:t>
      </w:r>
      <w:r>
        <w:rPr>
          <w:lang w:val="en-US"/>
        </w:rPr>
        <w:t>Handbook. Th</w:t>
      </w:r>
      <w:r w:rsidR="006A07AF">
        <w:rPr>
          <w:lang w:val="en-US"/>
        </w:rPr>
        <w:t xml:space="preserve">e </w:t>
      </w:r>
      <w:r w:rsidR="007754CE">
        <w:t xml:space="preserve">N5T joint Admission Days were again organized </w:t>
      </w:r>
      <w:r w:rsidR="00BC544F">
        <w:t xml:space="preserve">in March 2017 </w:t>
      </w:r>
      <w:r w:rsidR="007754CE">
        <w:t xml:space="preserve">and gathered all consortia on one campus, this time at DTU, in order to discuss common issues, challenges, positive experiences and </w:t>
      </w:r>
      <w:r w:rsidR="00BC544F">
        <w:t xml:space="preserve">the applications from students to the programmes.  The </w:t>
      </w:r>
      <w:r w:rsidR="006A07AF">
        <w:rPr>
          <w:lang w:val="en-US"/>
        </w:rPr>
        <w:t>outcomes of the new admission process</w:t>
      </w:r>
      <w:r>
        <w:rPr>
          <w:lang w:val="en-US"/>
        </w:rPr>
        <w:t xml:space="preserve"> </w:t>
      </w:r>
      <w:r w:rsidR="00BC544F">
        <w:rPr>
          <w:lang w:val="en-US"/>
        </w:rPr>
        <w:t>were</w:t>
      </w:r>
      <w:r>
        <w:rPr>
          <w:lang w:val="en-US"/>
        </w:rPr>
        <w:t xml:space="preserve"> - generally positively - assessed by </w:t>
      </w:r>
      <w:r w:rsidR="006A07AF">
        <w:rPr>
          <w:lang w:val="en-US"/>
        </w:rPr>
        <w:t xml:space="preserve">the </w:t>
      </w:r>
      <w:r>
        <w:rPr>
          <w:lang w:val="en-US"/>
        </w:rPr>
        <w:t>JMP WG at the</w:t>
      </w:r>
      <w:r w:rsidR="00BC544F">
        <w:rPr>
          <w:lang w:val="en-US"/>
        </w:rPr>
        <w:t>ir</w:t>
      </w:r>
      <w:r>
        <w:rPr>
          <w:lang w:val="en-US"/>
        </w:rPr>
        <w:t xml:space="preserve"> meeting during the Admission Days</w:t>
      </w:r>
      <w:r w:rsidR="00BC544F">
        <w:rPr>
          <w:lang w:val="en-US"/>
        </w:rPr>
        <w:t>.</w:t>
      </w:r>
      <w:r>
        <w:rPr>
          <w:lang w:val="en-US"/>
        </w:rPr>
        <w:t xml:space="preserve">  </w:t>
      </w:r>
    </w:p>
    <w:p w:rsidR="006E1EC2" w:rsidRDefault="006E1EC2" w:rsidP="006E1EC2">
      <w:pPr>
        <w:jc w:val="both"/>
        <w:rPr>
          <w:lang w:val="en-US"/>
        </w:rPr>
      </w:pPr>
      <w:r>
        <w:rPr>
          <w:lang w:val="en-US"/>
        </w:rPr>
        <w:t xml:space="preserve">In collaboration with Consortia and Secretariat </w:t>
      </w:r>
      <w:r w:rsidR="006A07AF">
        <w:rPr>
          <w:lang w:val="en-US"/>
        </w:rPr>
        <w:t xml:space="preserve">the </w:t>
      </w:r>
      <w:r w:rsidR="00531628">
        <w:rPr>
          <w:lang w:val="en-US"/>
        </w:rPr>
        <w:t xml:space="preserve">JMP </w:t>
      </w:r>
      <w:r>
        <w:rPr>
          <w:lang w:val="en-US"/>
        </w:rPr>
        <w:t>WG has also identified possible challenges in the N5T thesis supervision and assessment. Based on the past experiences and received feedback</w:t>
      </w:r>
      <w:r w:rsidR="00AC68C3">
        <w:rPr>
          <w:lang w:val="en-US"/>
        </w:rPr>
        <w:t>,</w:t>
      </w:r>
      <w:r>
        <w:rPr>
          <w:lang w:val="en-US"/>
        </w:rPr>
        <w:t xml:space="preserve"> </w:t>
      </w:r>
      <w:r w:rsidR="006A07AF">
        <w:rPr>
          <w:lang w:val="en-US"/>
        </w:rPr>
        <w:t xml:space="preserve">the </w:t>
      </w:r>
      <w:r w:rsidR="00531628">
        <w:rPr>
          <w:lang w:val="en-US"/>
        </w:rPr>
        <w:t xml:space="preserve">JMP </w:t>
      </w:r>
      <w:r>
        <w:rPr>
          <w:lang w:val="en-US"/>
        </w:rPr>
        <w:t>WG prepared a presentation for the participants of t</w:t>
      </w:r>
      <w:r w:rsidR="006A07AF">
        <w:rPr>
          <w:lang w:val="en-US"/>
        </w:rPr>
        <w:t xml:space="preserve">he Admission Days regarding common challenges regarding </w:t>
      </w:r>
      <w:r>
        <w:rPr>
          <w:lang w:val="en-US"/>
        </w:rPr>
        <w:t xml:space="preserve">thesis supervision. In the second half of year 2017 </w:t>
      </w:r>
      <w:r w:rsidR="006A07AF">
        <w:rPr>
          <w:lang w:val="en-US"/>
        </w:rPr>
        <w:t xml:space="preserve">the </w:t>
      </w:r>
      <w:r w:rsidR="00531628">
        <w:rPr>
          <w:lang w:val="en-US"/>
        </w:rPr>
        <w:t xml:space="preserve">JMP </w:t>
      </w:r>
      <w:r>
        <w:rPr>
          <w:lang w:val="en-US"/>
        </w:rPr>
        <w:t>WG is planning to focus on the further elaboration of the new guidelines for students and supervisors</w:t>
      </w:r>
      <w:r w:rsidR="006A07AF">
        <w:rPr>
          <w:lang w:val="en-US"/>
        </w:rPr>
        <w:t xml:space="preserve"> as well as on </w:t>
      </w:r>
      <w:r>
        <w:rPr>
          <w:lang w:val="en-US"/>
        </w:rPr>
        <w:t>new recruitment methods and marketing initiatives to increase the number of applicants to N5T programmes.</w:t>
      </w:r>
    </w:p>
    <w:p w:rsidR="006A07AF" w:rsidRDefault="00B86EF6" w:rsidP="006A07AF">
      <w:pPr>
        <w:rPr>
          <w:rFonts w:ascii="Calibri" w:eastAsia="+mn-ea" w:hAnsi="Calibri" w:cs="+mn-cs"/>
          <w:bCs/>
          <w:kern w:val="24"/>
          <w:lang w:val="en-US"/>
        </w:rPr>
      </w:pPr>
      <w:r w:rsidRPr="005B02D2">
        <w:rPr>
          <w:lang w:val="en-GB"/>
        </w:rPr>
        <w:t xml:space="preserve">To </w:t>
      </w:r>
      <w:r w:rsidR="00542B36">
        <w:rPr>
          <w:lang w:val="en-GB"/>
        </w:rPr>
        <w:t>facilitate</w:t>
      </w:r>
      <w:r w:rsidRPr="005B02D2">
        <w:rPr>
          <w:lang w:val="en-GB"/>
        </w:rPr>
        <w:t xml:space="preserve"> </w:t>
      </w:r>
      <w:r w:rsidRPr="00AC68C3">
        <w:rPr>
          <w:lang w:val="en-GB"/>
        </w:rPr>
        <w:t>joint student activities,</w:t>
      </w:r>
      <w:r w:rsidRPr="005B02D2">
        <w:rPr>
          <w:lang w:val="en-GB"/>
        </w:rPr>
        <w:t xml:space="preserve"> strengthen student satisfaction, and stimulate contact between the departments involved, a</w:t>
      </w:r>
      <w:r w:rsidR="00542B36">
        <w:rPr>
          <w:lang w:val="en-GB"/>
        </w:rPr>
        <w:t>n institutional</w:t>
      </w:r>
      <w:r w:rsidRPr="005B02D2">
        <w:rPr>
          <w:lang w:val="en-GB"/>
        </w:rPr>
        <w:t xml:space="preserve"> funding scheme was set up as a trial case</w:t>
      </w:r>
      <w:r w:rsidR="00B63D83" w:rsidRPr="005B02D2">
        <w:rPr>
          <w:lang w:val="en-GB"/>
        </w:rPr>
        <w:t xml:space="preserve"> for the academic year 2015-16</w:t>
      </w:r>
      <w:r w:rsidR="006E1EC2">
        <w:rPr>
          <w:lang w:val="en-GB"/>
        </w:rPr>
        <w:t xml:space="preserve"> and for the academic year 2016-2017 it was decided to make this funding scheme permanent. </w:t>
      </w:r>
      <w:r w:rsidRPr="005B02D2">
        <w:rPr>
          <w:lang w:val="en-GB"/>
        </w:rPr>
        <w:t xml:space="preserve"> </w:t>
      </w:r>
    </w:p>
    <w:p w:rsidR="003F0942" w:rsidRDefault="006E1EC2" w:rsidP="005B02D2">
      <w:pPr>
        <w:rPr>
          <w:rFonts w:ascii="Calibri" w:eastAsia="+mn-ea" w:hAnsi="Calibri" w:cs="+mn-cs"/>
          <w:bCs/>
          <w:kern w:val="24"/>
          <w:lang w:val="en-US"/>
        </w:rPr>
      </w:pPr>
      <w:r>
        <w:rPr>
          <w:rFonts w:ascii="Calibri" w:eastAsia="+mn-ea" w:hAnsi="Calibri" w:cs="+mn-cs"/>
          <w:bCs/>
          <w:kern w:val="24"/>
          <w:lang w:val="en-US"/>
        </w:rPr>
        <w:t xml:space="preserve">To facilitate planning and budgeting, the responsibility to host the joint student activity shall rotate between the consortium universities according to a long-term plan adopted by the N5T Committee. </w:t>
      </w:r>
    </w:p>
    <w:p w:rsidR="003F0942" w:rsidRPr="00BF7FC0" w:rsidRDefault="00D37B21" w:rsidP="00BF7FC0">
      <w:pPr>
        <w:rPr>
          <w:lang w:val="en-GB"/>
        </w:rPr>
      </w:pPr>
      <w:r w:rsidRPr="00BF7FC0">
        <w:rPr>
          <w:lang w:val="en-GB"/>
        </w:rPr>
        <w:t xml:space="preserve">The master programmes Innovative Sustainable Energy Engineering, Maritime Engineering and Polymer Technology </w:t>
      </w:r>
      <w:r w:rsidR="003F0942" w:rsidRPr="00BF7FC0">
        <w:rPr>
          <w:lang w:val="en-GB"/>
        </w:rPr>
        <w:t>organized joint activities in the form of winter schools</w:t>
      </w:r>
      <w:r w:rsidRPr="00BF7FC0">
        <w:rPr>
          <w:lang w:val="en-GB"/>
        </w:rPr>
        <w:t>/</w:t>
      </w:r>
      <w:r w:rsidR="003F0942" w:rsidRPr="00BF7FC0">
        <w:rPr>
          <w:lang w:val="en-GB"/>
        </w:rPr>
        <w:t>intro</w:t>
      </w:r>
      <w:r w:rsidR="00531628">
        <w:rPr>
          <w:lang w:val="en-GB"/>
        </w:rPr>
        <w:t>duction</w:t>
      </w:r>
      <w:r w:rsidR="003F0942" w:rsidRPr="00BF7FC0">
        <w:rPr>
          <w:lang w:val="en-GB"/>
        </w:rPr>
        <w:t xml:space="preserve"> weekends. </w:t>
      </w:r>
    </w:p>
    <w:p w:rsidR="00AC68C3" w:rsidRDefault="00AC68C3" w:rsidP="00D3613B">
      <w:pPr>
        <w:pStyle w:val="Heading2"/>
        <w:rPr>
          <w:lang w:val="en-GB"/>
        </w:rPr>
      </w:pPr>
    </w:p>
    <w:p w:rsidR="00D3613B" w:rsidRPr="00D60155" w:rsidRDefault="00D3613B" w:rsidP="00D60155">
      <w:pPr>
        <w:pStyle w:val="Heading1"/>
        <w:numPr>
          <w:ilvl w:val="1"/>
          <w:numId w:val="15"/>
        </w:numPr>
        <w:rPr>
          <w:sz w:val="26"/>
          <w:szCs w:val="26"/>
          <w:lang w:val="en-GB"/>
        </w:rPr>
      </w:pPr>
      <w:r w:rsidRPr="00D60155">
        <w:rPr>
          <w:sz w:val="26"/>
          <w:szCs w:val="26"/>
          <w:lang w:val="en-GB"/>
        </w:rPr>
        <w:t>Entrepreneurship Education</w:t>
      </w:r>
    </w:p>
    <w:p w:rsidR="006E1EC2" w:rsidRDefault="006E1EC2" w:rsidP="006E1EC2">
      <w:pPr>
        <w:rPr>
          <w:lang w:val="en-GB"/>
        </w:rPr>
      </w:pPr>
      <w:r>
        <w:rPr>
          <w:lang w:val="en-GB"/>
        </w:rPr>
        <w:t>The working group with representatives from Chalmers, DTU, KTH, and NTNU has continued to meet and interact (on site as well as on-line) on a recurring basis in order to exchange insights and experiences.</w:t>
      </w:r>
    </w:p>
    <w:p w:rsidR="006E1EC2" w:rsidRDefault="006E1EC2" w:rsidP="006E1EC2">
      <w:pPr>
        <w:rPr>
          <w:lang w:val="en-GB"/>
        </w:rPr>
      </w:pPr>
      <w:r>
        <w:rPr>
          <w:lang w:val="en-GB"/>
        </w:rPr>
        <w:t>The most interesting experience during the year was that the group received funding from Nordplus, based on an application tha</w:t>
      </w:r>
      <w:r w:rsidR="00774E46">
        <w:rPr>
          <w:lang w:val="en-GB"/>
        </w:rPr>
        <w:t xml:space="preserve">t had been developed during a meeting in Copenhagen. The funding </w:t>
      </w:r>
      <w:r>
        <w:rPr>
          <w:lang w:val="en-GB"/>
        </w:rPr>
        <w:t>strengthen</w:t>
      </w:r>
      <w:r w:rsidR="00774E46">
        <w:rPr>
          <w:lang w:val="en-GB"/>
        </w:rPr>
        <w:t>s</w:t>
      </w:r>
      <w:r>
        <w:rPr>
          <w:lang w:val="en-GB"/>
        </w:rPr>
        <w:t xml:space="preserve"> the bonds between the participating universities as it supports the meeting</w:t>
      </w:r>
      <w:r w:rsidR="00774E46">
        <w:rPr>
          <w:lang w:val="en-GB"/>
        </w:rPr>
        <w:t>s</w:t>
      </w:r>
      <w:r>
        <w:rPr>
          <w:lang w:val="en-GB"/>
        </w:rPr>
        <w:t xml:space="preserve"> and exchanges between the parties. The funding from Nordplus also contains scholarships for students to travel on express mobility during a week at the different hubs. This is very much in line with the working group’s intentions to facilitate interaction between entrepreneur</w:t>
      </w:r>
      <w:r w:rsidR="00774E46">
        <w:rPr>
          <w:lang w:val="en-GB"/>
        </w:rPr>
        <w:t>ial students around the Nordic area.</w:t>
      </w:r>
    </w:p>
    <w:p w:rsidR="006E1EC2" w:rsidRDefault="006E1EC2" w:rsidP="006E1EC2">
      <w:pPr>
        <w:rPr>
          <w:lang w:val="en-GB"/>
        </w:rPr>
      </w:pPr>
      <w:r>
        <w:rPr>
          <w:lang w:val="en-GB"/>
        </w:rPr>
        <w:t xml:space="preserve">The working group meetings are normally “lunch-to-lunch” where the parties can update each other as well as </w:t>
      </w:r>
      <w:r w:rsidR="00AC68C3">
        <w:rPr>
          <w:lang w:val="en-GB"/>
        </w:rPr>
        <w:t>participate</w:t>
      </w:r>
      <w:r w:rsidR="00774E46">
        <w:rPr>
          <w:lang w:val="en-GB"/>
        </w:rPr>
        <w:t xml:space="preserve"> in</w:t>
      </w:r>
      <w:r>
        <w:rPr>
          <w:lang w:val="en-GB"/>
        </w:rPr>
        <w:t xml:space="preserve"> interesting visits. </w:t>
      </w:r>
      <w:r w:rsidR="00774E46">
        <w:rPr>
          <w:lang w:val="en-GB"/>
        </w:rPr>
        <w:t xml:space="preserve"> </w:t>
      </w:r>
      <w:r>
        <w:rPr>
          <w:lang w:val="en-GB"/>
        </w:rPr>
        <w:t>As a tradition the meeting</w:t>
      </w:r>
      <w:r w:rsidR="00774E46">
        <w:rPr>
          <w:lang w:val="en-GB"/>
        </w:rPr>
        <w:t>s include</w:t>
      </w:r>
      <w:r>
        <w:rPr>
          <w:lang w:val="en-GB"/>
        </w:rPr>
        <w:t xml:space="preserve"> staff and students in order to have interaction on multiple levels.  </w:t>
      </w:r>
    </w:p>
    <w:p w:rsidR="006E1EC2" w:rsidRDefault="006E1EC2" w:rsidP="006E1EC2">
      <w:pPr>
        <w:rPr>
          <w:lang w:val="en-GB"/>
        </w:rPr>
      </w:pPr>
      <w:r>
        <w:rPr>
          <w:lang w:val="en-GB"/>
        </w:rPr>
        <w:t xml:space="preserve">In September </w:t>
      </w:r>
      <w:r w:rsidR="00AC68C3">
        <w:rPr>
          <w:lang w:val="en-GB"/>
        </w:rPr>
        <w:t xml:space="preserve">2016 </w:t>
      </w:r>
      <w:r>
        <w:rPr>
          <w:lang w:val="en-GB"/>
        </w:rPr>
        <w:t xml:space="preserve">NTNU hosted a meeting where the group visited the student incubator to hear pitches from the current ventures, </w:t>
      </w:r>
      <w:r w:rsidR="00AC68C3">
        <w:rPr>
          <w:lang w:val="en-GB"/>
        </w:rPr>
        <w:t>followed by</w:t>
      </w:r>
      <w:r>
        <w:rPr>
          <w:lang w:val="en-GB"/>
        </w:rPr>
        <w:t xml:space="preserve"> a visit to Troll Labs (a research laboratory dedicated to “the early fuzzy front end”). In February the group met again, this time at KTH. The meeting coincided with REEF (the Royal Entrepreneurial Enterprise Forum), which allowed the group to attend presentations from financier and advisor ALMI, and law firm Cederqvist. Additionally, there was an opportunity to visit the fair connected to the forum. The next meeting will be hosted by Chalmers in the beginning of the autumn</w:t>
      </w:r>
      <w:r w:rsidR="00AC68C3">
        <w:rPr>
          <w:lang w:val="en-GB"/>
        </w:rPr>
        <w:t xml:space="preserve"> 2017</w:t>
      </w:r>
      <w:r>
        <w:rPr>
          <w:lang w:val="en-GB"/>
        </w:rPr>
        <w:t xml:space="preserve">. </w:t>
      </w:r>
    </w:p>
    <w:p w:rsidR="00AC68C3" w:rsidRDefault="00AC68C3" w:rsidP="006E1EC2">
      <w:pPr>
        <w:rPr>
          <w:lang w:val="en-GB"/>
        </w:rPr>
      </w:pPr>
    </w:p>
    <w:p w:rsidR="00F95EF2" w:rsidRPr="00D60155" w:rsidRDefault="000E5402" w:rsidP="00D60155">
      <w:pPr>
        <w:pStyle w:val="Heading1"/>
        <w:numPr>
          <w:ilvl w:val="1"/>
          <w:numId w:val="15"/>
        </w:numPr>
        <w:rPr>
          <w:sz w:val="26"/>
          <w:szCs w:val="26"/>
          <w:lang w:val="en-GB"/>
        </w:rPr>
      </w:pPr>
      <w:r w:rsidRPr="00D60155">
        <w:rPr>
          <w:sz w:val="26"/>
          <w:szCs w:val="26"/>
          <w:lang w:val="en-GB"/>
        </w:rPr>
        <w:t xml:space="preserve">Quality Assurance - Peer Evaluation </w:t>
      </w:r>
    </w:p>
    <w:p w:rsidR="00F00B03" w:rsidRDefault="00F00B03" w:rsidP="00F95EF2">
      <w:pPr>
        <w:rPr>
          <w:lang w:val="en-GB"/>
        </w:rPr>
      </w:pPr>
      <w:r>
        <w:rPr>
          <w:lang w:val="en-GB"/>
        </w:rPr>
        <w:t>Between the years 2009 and 2016, 41 programmes have been evaluated.  In 2016/2017 the programmes in “Medicine and Technology” and “Naval/Marine Technology” were evaluated.</w:t>
      </w:r>
    </w:p>
    <w:p w:rsidR="00BE09B3" w:rsidRDefault="00BE09B3" w:rsidP="00F95EF2">
      <w:pPr>
        <w:rPr>
          <w:lang w:val="en-GB"/>
        </w:rPr>
      </w:pPr>
      <w:r w:rsidRPr="00F95EF2">
        <w:rPr>
          <w:lang w:val="en-GB"/>
        </w:rPr>
        <w:t xml:space="preserve">One area </w:t>
      </w:r>
      <w:r w:rsidR="00F95EF2">
        <w:rPr>
          <w:lang w:val="en-GB"/>
        </w:rPr>
        <w:t>for future development is to see how the</w:t>
      </w:r>
      <w:r w:rsidRPr="00F95EF2">
        <w:rPr>
          <w:lang w:val="en-GB"/>
        </w:rPr>
        <w:t xml:space="preserve"> N5T</w:t>
      </w:r>
      <w:r w:rsidR="00F95EF2">
        <w:rPr>
          <w:lang w:val="en-GB"/>
        </w:rPr>
        <w:t xml:space="preserve"> </w:t>
      </w:r>
      <w:r w:rsidR="00531628">
        <w:rPr>
          <w:lang w:val="en-GB"/>
        </w:rPr>
        <w:t xml:space="preserve">Peer Evaluation </w:t>
      </w:r>
      <w:r w:rsidRPr="00F95EF2">
        <w:rPr>
          <w:lang w:val="en-GB"/>
        </w:rPr>
        <w:t>work can be</w:t>
      </w:r>
      <w:r w:rsidR="00AC68C3">
        <w:rPr>
          <w:lang w:val="en-GB"/>
        </w:rPr>
        <w:t xml:space="preserve"> combined with</w:t>
      </w:r>
      <w:r w:rsidR="00F95EF2">
        <w:rPr>
          <w:lang w:val="en-GB"/>
        </w:rPr>
        <w:t xml:space="preserve"> follow-up</w:t>
      </w:r>
      <w:r w:rsidR="00AC68C3">
        <w:rPr>
          <w:lang w:val="en-GB"/>
        </w:rPr>
        <w:t>s</w:t>
      </w:r>
      <w:r w:rsidR="00F95EF2">
        <w:rPr>
          <w:lang w:val="en-GB"/>
        </w:rPr>
        <w:t xml:space="preserve"> </w:t>
      </w:r>
      <w:r w:rsidRPr="00F95EF2">
        <w:rPr>
          <w:lang w:val="en-GB"/>
        </w:rPr>
        <w:t xml:space="preserve">by the </w:t>
      </w:r>
      <w:r w:rsidR="00E85442">
        <w:rPr>
          <w:lang w:val="en-GB"/>
        </w:rPr>
        <w:t>N5T Pedagogical group</w:t>
      </w:r>
      <w:r w:rsidRPr="00F95EF2">
        <w:rPr>
          <w:lang w:val="en-GB"/>
        </w:rPr>
        <w:t>, so that the N5T</w:t>
      </w:r>
      <w:r w:rsidR="00531628">
        <w:rPr>
          <w:lang w:val="en-GB"/>
        </w:rPr>
        <w:t xml:space="preserve"> Pedagogical group </w:t>
      </w:r>
      <w:r w:rsidRPr="00F95EF2">
        <w:rPr>
          <w:lang w:val="en-GB"/>
        </w:rPr>
        <w:t xml:space="preserve">can support the realization of the development </w:t>
      </w:r>
      <w:r w:rsidR="00E85442">
        <w:rPr>
          <w:lang w:val="en-GB"/>
        </w:rPr>
        <w:t xml:space="preserve">of </w:t>
      </w:r>
      <w:r w:rsidRPr="00F95EF2">
        <w:rPr>
          <w:lang w:val="en-GB"/>
        </w:rPr>
        <w:t xml:space="preserve">ideas that are the result of the </w:t>
      </w:r>
      <w:r w:rsidR="00E85442">
        <w:rPr>
          <w:lang w:val="en-GB"/>
        </w:rPr>
        <w:t>peer evaluations</w:t>
      </w:r>
      <w:r w:rsidRPr="00F95EF2">
        <w:rPr>
          <w:lang w:val="en-GB"/>
        </w:rPr>
        <w:t>.</w:t>
      </w:r>
    </w:p>
    <w:p w:rsidR="00F00B03" w:rsidRDefault="00F00B03" w:rsidP="00F00B03">
      <w:pPr>
        <w:spacing w:after="0" w:line="240" w:lineRule="auto"/>
        <w:rPr>
          <w:lang w:val="en-GB"/>
        </w:rPr>
      </w:pPr>
      <w:r w:rsidRPr="00F00B03">
        <w:rPr>
          <w:lang w:val="en-GB"/>
        </w:rPr>
        <w:t xml:space="preserve">The group has also identified differences in the local quality assurance systems on programme level at the N5T universities and would like to investigate and establish linkages to the N5T Peer Evaluation process. </w:t>
      </w:r>
    </w:p>
    <w:p w:rsidR="00F00B03" w:rsidRPr="00F00B03" w:rsidRDefault="00F00B03" w:rsidP="00F00B03">
      <w:pPr>
        <w:spacing w:after="0" w:line="240" w:lineRule="auto"/>
      </w:pPr>
    </w:p>
    <w:p w:rsidR="00BE09B3" w:rsidRDefault="00F95EF2" w:rsidP="00BE09B3">
      <w:pPr>
        <w:rPr>
          <w:lang w:val="en-GB"/>
        </w:rPr>
      </w:pPr>
      <w:r w:rsidRPr="00F95EF2">
        <w:rPr>
          <w:lang w:val="en-GB"/>
        </w:rPr>
        <w:t xml:space="preserve">In </w:t>
      </w:r>
      <w:r w:rsidR="000061EC">
        <w:rPr>
          <w:lang w:val="en-GB"/>
        </w:rPr>
        <w:t xml:space="preserve">addition, </w:t>
      </w:r>
      <w:r w:rsidR="000061EC" w:rsidRPr="00F95EF2">
        <w:rPr>
          <w:lang w:val="en-GB"/>
        </w:rPr>
        <w:t>the</w:t>
      </w:r>
      <w:r w:rsidRPr="00F95EF2">
        <w:rPr>
          <w:lang w:val="en-GB"/>
        </w:rPr>
        <w:t xml:space="preserve"> members within the N5T PE project group authored a conference contribution to the CDIO conference in Finland, in June 2016. </w:t>
      </w:r>
    </w:p>
    <w:p w:rsidR="00462A75" w:rsidRDefault="00462A75" w:rsidP="00BE09B3">
      <w:pPr>
        <w:rPr>
          <w:lang w:val="en-GB"/>
        </w:rPr>
      </w:pPr>
    </w:p>
    <w:p w:rsidR="000E5402" w:rsidRPr="00D60155" w:rsidRDefault="000E5402" w:rsidP="00D60155">
      <w:pPr>
        <w:pStyle w:val="Heading1"/>
        <w:numPr>
          <w:ilvl w:val="1"/>
          <w:numId w:val="15"/>
        </w:numPr>
        <w:rPr>
          <w:sz w:val="26"/>
          <w:szCs w:val="26"/>
          <w:lang w:val="en-GB"/>
        </w:rPr>
      </w:pPr>
      <w:r w:rsidRPr="00D60155">
        <w:rPr>
          <w:sz w:val="26"/>
          <w:szCs w:val="26"/>
          <w:lang w:val="en-GB"/>
        </w:rPr>
        <w:t>Pedagogical Collaboration</w:t>
      </w:r>
    </w:p>
    <w:p w:rsidR="00BE09B3" w:rsidRPr="008504BD" w:rsidRDefault="00BE09B3" w:rsidP="00BE09B3">
      <w:pPr>
        <w:rPr>
          <w:lang w:val="en-GB"/>
        </w:rPr>
      </w:pPr>
      <w:r w:rsidRPr="008504BD">
        <w:rPr>
          <w:lang w:val="en-GB"/>
        </w:rPr>
        <w:t>The N5T</w:t>
      </w:r>
      <w:r w:rsidR="00C81D93">
        <w:rPr>
          <w:lang w:val="en-GB"/>
        </w:rPr>
        <w:t xml:space="preserve"> pedagogical</w:t>
      </w:r>
      <w:r w:rsidRPr="008504BD">
        <w:rPr>
          <w:lang w:val="en-GB"/>
        </w:rPr>
        <w:t xml:space="preserve"> group had its annual</w:t>
      </w:r>
      <w:r w:rsidR="00AC68C3">
        <w:rPr>
          <w:lang w:val="en-GB"/>
        </w:rPr>
        <w:t xml:space="preserve"> meeting at Chalmers in August </w:t>
      </w:r>
      <w:r w:rsidRPr="008504BD">
        <w:rPr>
          <w:lang w:val="en-GB"/>
        </w:rPr>
        <w:t>2016</w:t>
      </w:r>
      <w:r w:rsidR="00AC68C3">
        <w:rPr>
          <w:lang w:val="en-GB"/>
        </w:rPr>
        <w:t>,</w:t>
      </w:r>
      <w:r w:rsidRPr="008504BD">
        <w:rPr>
          <w:lang w:val="en-GB"/>
        </w:rPr>
        <w:t xml:space="preserve"> with participation from all five universities. This</w:t>
      </w:r>
      <w:r w:rsidR="006B419B" w:rsidRPr="008504BD">
        <w:rPr>
          <w:lang w:val="en-GB"/>
        </w:rPr>
        <w:t xml:space="preserve"> was a fruitful meeting where </w:t>
      </w:r>
      <w:r w:rsidRPr="008504BD">
        <w:rPr>
          <w:lang w:val="en-GB"/>
        </w:rPr>
        <w:t>two main topics for engineering education developmen</w:t>
      </w:r>
      <w:r w:rsidR="006B419B" w:rsidRPr="008504BD">
        <w:rPr>
          <w:lang w:val="en-GB"/>
        </w:rPr>
        <w:t>t that</w:t>
      </w:r>
      <w:r w:rsidRPr="008504BD">
        <w:rPr>
          <w:lang w:val="en-GB"/>
        </w:rPr>
        <w:t xml:space="preserve"> could </w:t>
      </w:r>
      <w:r w:rsidR="006B419B" w:rsidRPr="008504BD">
        <w:rPr>
          <w:lang w:val="en-GB"/>
        </w:rPr>
        <w:t xml:space="preserve">be </w:t>
      </w:r>
      <w:r w:rsidRPr="008504BD">
        <w:rPr>
          <w:lang w:val="en-GB"/>
        </w:rPr>
        <w:t>further explore</w:t>
      </w:r>
      <w:r w:rsidR="006B419B" w:rsidRPr="008504BD">
        <w:rPr>
          <w:lang w:val="en-GB"/>
        </w:rPr>
        <w:t>d</w:t>
      </w:r>
      <w:r w:rsidRPr="008504BD">
        <w:rPr>
          <w:lang w:val="en-GB"/>
        </w:rPr>
        <w:t xml:space="preserve"> together within N5T</w:t>
      </w:r>
      <w:r w:rsidR="00910700">
        <w:rPr>
          <w:lang w:val="en-GB"/>
        </w:rPr>
        <w:t>,</w:t>
      </w:r>
      <w:r w:rsidR="006B419B" w:rsidRPr="008504BD">
        <w:rPr>
          <w:lang w:val="en-GB"/>
        </w:rPr>
        <w:t xml:space="preserve"> were identified</w:t>
      </w:r>
      <w:r w:rsidRPr="008504BD">
        <w:rPr>
          <w:lang w:val="en-GB"/>
        </w:rPr>
        <w:t xml:space="preserve">. </w:t>
      </w:r>
    </w:p>
    <w:p w:rsidR="00BE09B3" w:rsidRPr="008504BD" w:rsidRDefault="00910700" w:rsidP="00BE09B3">
      <w:pPr>
        <w:rPr>
          <w:lang w:val="en-GB"/>
        </w:rPr>
      </w:pPr>
      <w:r>
        <w:rPr>
          <w:lang w:val="en-GB"/>
        </w:rPr>
        <w:t>The first topic is t</w:t>
      </w:r>
      <w:r w:rsidR="006B419B" w:rsidRPr="008504BD">
        <w:rPr>
          <w:lang w:val="en-GB"/>
        </w:rPr>
        <w:t xml:space="preserve">he ambition </w:t>
      </w:r>
      <w:r w:rsidR="00BE09B3" w:rsidRPr="008504BD">
        <w:rPr>
          <w:lang w:val="en-GB"/>
        </w:rPr>
        <w:t>to search for ways to come closer to evaluation and analysis of the pedagogical quality of a course than the current methods</w:t>
      </w:r>
      <w:r w:rsidR="006B419B" w:rsidRPr="008504BD">
        <w:rPr>
          <w:lang w:val="en-GB"/>
        </w:rPr>
        <w:t>,</w:t>
      </w:r>
      <w:r w:rsidR="00BE09B3" w:rsidRPr="008504BD">
        <w:rPr>
          <w:lang w:val="en-GB"/>
        </w:rPr>
        <w:t xml:space="preserve"> with data on throughput and scores from student evaluation questionnaires together with follow</w:t>
      </w:r>
      <w:r>
        <w:rPr>
          <w:lang w:val="en-GB"/>
        </w:rPr>
        <w:t>-</w:t>
      </w:r>
      <w:r w:rsidR="006B419B" w:rsidRPr="008504BD">
        <w:rPr>
          <w:lang w:val="en-GB"/>
        </w:rPr>
        <w:t>up meetings. A comparative study among the N5T</w:t>
      </w:r>
      <w:r w:rsidR="00BE09B3" w:rsidRPr="008504BD">
        <w:rPr>
          <w:lang w:val="en-GB"/>
        </w:rPr>
        <w:t xml:space="preserve"> universities, with a current post doc at NTNU having the capacity to do the coordinative work</w:t>
      </w:r>
      <w:r w:rsidR="006B419B" w:rsidRPr="008504BD">
        <w:rPr>
          <w:lang w:val="en-GB"/>
        </w:rPr>
        <w:t>, is suggested</w:t>
      </w:r>
      <w:r w:rsidR="00BE09B3" w:rsidRPr="008504BD">
        <w:rPr>
          <w:lang w:val="en-GB"/>
        </w:rPr>
        <w:t>.</w:t>
      </w:r>
    </w:p>
    <w:p w:rsidR="006B419B" w:rsidRPr="008504BD" w:rsidRDefault="00910700" w:rsidP="00BE09B3">
      <w:pPr>
        <w:rPr>
          <w:lang w:val="en-GB"/>
        </w:rPr>
      </w:pPr>
      <w:r>
        <w:rPr>
          <w:lang w:val="en-GB"/>
        </w:rPr>
        <w:t>The second topic identifies that t</w:t>
      </w:r>
      <w:r w:rsidR="006B419B" w:rsidRPr="008504BD">
        <w:rPr>
          <w:lang w:val="en-GB"/>
        </w:rPr>
        <w:t>here is a</w:t>
      </w:r>
      <w:r w:rsidR="00BE09B3" w:rsidRPr="008504BD">
        <w:rPr>
          <w:lang w:val="en-GB"/>
        </w:rPr>
        <w:t xml:space="preserve"> need for pedagogical development units to contribute to programme development, e.g with giving courses and seminars on pedagogical leadership for heads of programmes and other leaders. </w:t>
      </w:r>
    </w:p>
    <w:p w:rsidR="00462A75" w:rsidRDefault="00462A75" w:rsidP="001A4856">
      <w:pPr>
        <w:rPr>
          <w:lang w:val="en-GB"/>
        </w:rPr>
      </w:pPr>
      <w:r>
        <w:rPr>
          <w:lang w:val="en-GB"/>
        </w:rPr>
        <w:t xml:space="preserve">In addition, the group comments on that </w:t>
      </w:r>
      <w:r w:rsidRPr="00462A75">
        <w:rPr>
          <w:lang w:val="en-GB"/>
        </w:rPr>
        <w:t>N5T contributions should be more visible on CDIO conferences as well as SEFI and other engineering education arenas.</w:t>
      </w:r>
    </w:p>
    <w:p w:rsidR="00767B23" w:rsidRDefault="00767B23" w:rsidP="001A4856">
      <w:pPr>
        <w:rPr>
          <w:lang w:val="en-GB"/>
        </w:rPr>
      </w:pPr>
    </w:p>
    <w:p w:rsidR="000E5402" w:rsidRPr="00D60155" w:rsidRDefault="000E5402" w:rsidP="00D60155">
      <w:pPr>
        <w:pStyle w:val="Heading1"/>
        <w:numPr>
          <w:ilvl w:val="1"/>
          <w:numId w:val="15"/>
        </w:numPr>
        <w:rPr>
          <w:sz w:val="26"/>
          <w:szCs w:val="26"/>
          <w:lang w:val="en-GB"/>
        </w:rPr>
      </w:pPr>
      <w:r w:rsidRPr="00D60155">
        <w:rPr>
          <w:sz w:val="26"/>
          <w:szCs w:val="26"/>
          <w:lang w:val="en-GB"/>
        </w:rPr>
        <w:t>Student “extended campus” activities</w:t>
      </w:r>
    </w:p>
    <w:p w:rsidR="00B26A8B" w:rsidRPr="00767B23" w:rsidRDefault="00B26A8B" w:rsidP="00F60ABE">
      <w:pPr>
        <w:rPr>
          <w:lang w:val="en-GB"/>
        </w:rPr>
      </w:pPr>
      <w:r w:rsidRPr="00767B23">
        <w:rPr>
          <w:lang w:val="en-GB"/>
        </w:rPr>
        <w:t xml:space="preserve">Since 2012, DTU has every two years invited N5T students to its Grøn Dyst innovation competition. </w:t>
      </w:r>
      <w:r w:rsidR="00767B23">
        <w:rPr>
          <w:lang w:val="en-GB"/>
        </w:rPr>
        <w:t>I</w:t>
      </w:r>
      <w:r w:rsidRPr="00767B23">
        <w:rPr>
          <w:lang w:val="en-GB"/>
        </w:rPr>
        <w:t xml:space="preserve">n 2016, teams from Aalto and NTNU participated. </w:t>
      </w:r>
    </w:p>
    <w:p w:rsidR="00B26A8B" w:rsidRDefault="00767B23" w:rsidP="00F60ABE">
      <w:pPr>
        <w:rPr>
          <w:lang w:val="en-GB"/>
        </w:rPr>
      </w:pPr>
      <w:r>
        <w:rPr>
          <w:lang w:val="en-GB"/>
        </w:rPr>
        <w:t>In</w:t>
      </w:r>
      <w:r w:rsidR="00B26A8B" w:rsidRPr="00767B23">
        <w:rPr>
          <w:lang w:val="en-GB"/>
        </w:rPr>
        <w:t>2016, DTU started up an Engineering World Health programme in Nepal</w:t>
      </w:r>
      <w:r w:rsidR="005B7B2B" w:rsidRPr="00767B23">
        <w:rPr>
          <w:lang w:val="en-GB"/>
        </w:rPr>
        <w:t xml:space="preserve"> (www.ewh.dtu.dk).</w:t>
      </w:r>
      <w:r w:rsidR="00B26A8B" w:rsidRPr="00767B23">
        <w:rPr>
          <w:lang w:val="en-GB"/>
        </w:rPr>
        <w:t xml:space="preserve"> </w:t>
      </w:r>
      <w:r w:rsidR="00463456" w:rsidRPr="00767B23">
        <w:rPr>
          <w:lang w:val="en-GB"/>
        </w:rPr>
        <w:t>Engineering World Health has previously only r</w:t>
      </w:r>
      <w:r>
        <w:rPr>
          <w:lang w:val="en-GB"/>
        </w:rPr>
        <w:t>u</w:t>
      </w:r>
      <w:r w:rsidR="00463456" w:rsidRPr="00767B23">
        <w:rPr>
          <w:lang w:val="en-GB"/>
        </w:rPr>
        <w:t>n projects in South</w:t>
      </w:r>
      <w:r>
        <w:rPr>
          <w:lang w:val="en-GB"/>
        </w:rPr>
        <w:t xml:space="preserve"> </w:t>
      </w:r>
      <w:r w:rsidR="00463456" w:rsidRPr="00767B23">
        <w:rPr>
          <w:lang w:val="en-GB"/>
        </w:rPr>
        <w:t xml:space="preserve">America and Africa. </w:t>
      </w:r>
      <w:r w:rsidR="00B26A8B" w:rsidRPr="00767B23">
        <w:rPr>
          <w:lang w:val="en-GB"/>
        </w:rPr>
        <w:t xml:space="preserve">N5T students were invited and students from Aalto and NTNU took part at the intensive preparatory course at DTU in June before they spent the next six weeks </w:t>
      </w:r>
      <w:r w:rsidR="00463456" w:rsidRPr="00767B23">
        <w:rPr>
          <w:lang w:val="en-GB"/>
        </w:rPr>
        <w:t xml:space="preserve">engaged in volunteer work </w:t>
      </w:r>
      <w:r w:rsidR="00B26A8B" w:rsidRPr="00767B23">
        <w:rPr>
          <w:lang w:val="en-GB"/>
        </w:rPr>
        <w:t>repairing medical equipment at local hospitals</w:t>
      </w:r>
      <w:r w:rsidR="00463456" w:rsidRPr="00767B23">
        <w:rPr>
          <w:lang w:val="en-GB"/>
        </w:rPr>
        <w:t xml:space="preserve"> in Nepal</w:t>
      </w:r>
      <w:r w:rsidR="00B26A8B" w:rsidRPr="00767B23">
        <w:rPr>
          <w:lang w:val="en-GB"/>
        </w:rPr>
        <w:t>.</w:t>
      </w:r>
      <w:r w:rsidR="00463456" w:rsidRPr="00767B23">
        <w:rPr>
          <w:lang w:val="en-GB"/>
        </w:rPr>
        <w:t xml:space="preserve"> The students cultural, creative and innovative skills were tested to its full.  At NTNU the activity is linked to the student chapter of Engineers Without Borders.</w:t>
      </w:r>
      <w:r w:rsidR="00B26A8B" w:rsidRPr="00767B23">
        <w:rPr>
          <w:lang w:val="en-GB"/>
        </w:rPr>
        <w:t xml:space="preserve"> </w:t>
      </w:r>
    </w:p>
    <w:p w:rsidR="00767B23" w:rsidRPr="00767B23" w:rsidRDefault="00767B23" w:rsidP="00F60ABE">
      <w:pPr>
        <w:rPr>
          <w:lang w:val="en-GB"/>
        </w:rPr>
      </w:pPr>
    </w:p>
    <w:p w:rsidR="00D60155" w:rsidRPr="00D60155" w:rsidRDefault="00D60155" w:rsidP="00D60155">
      <w:pPr>
        <w:pStyle w:val="ListParagraph"/>
        <w:numPr>
          <w:ilvl w:val="1"/>
          <w:numId w:val="15"/>
        </w:numPr>
        <w:rPr>
          <w:rStyle w:val="Heading2Char"/>
          <w:lang w:val="en-US"/>
        </w:rPr>
      </w:pPr>
      <w:r w:rsidRPr="00D60155">
        <w:rPr>
          <w:rStyle w:val="Heading2Char"/>
          <w:lang w:val="en-US"/>
        </w:rPr>
        <w:t>Engineering education workshop</w:t>
      </w:r>
    </w:p>
    <w:p w:rsidR="00D60155" w:rsidRDefault="00D60155" w:rsidP="00D60155">
      <w:pPr>
        <w:rPr>
          <w:bCs/>
        </w:rPr>
      </w:pPr>
      <w:r>
        <w:t xml:space="preserve">In October 2016, KTH </w:t>
      </w:r>
      <w:r w:rsidRPr="00BC37D2">
        <w:t xml:space="preserve">arranged a workshop </w:t>
      </w:r>
      <w:r w:rsidRPr="00BC37D2">
        <w:rPr>
          <w:bCs/>
        </w:rPr>
        <w:t>on leadership for quality enhancement and development of engineering education</w:t>
      </w:r>
      <w:r>
        <w:rPr>
          <w:bCs/>
        </w:rPr>
        <w:t>, with some 35 participants from all the five universities.</w:t>
      </w:r>
    </w:p>
    <w:p w:rsidR="00D60155" w:rsidRDefault="00D60155" w:rsidP="00D60155">
      <w:pPr>
        <w:rPr>
          <w:lang w:val="en-GB"/>
        </w:rPr>
      </w:pPr>
      <w:r>
        <w:t>This initiative is the starting point t</w:t>
      </w:r>
      <w:r>
        <w:rPr>
          <w:lang w:val="en-GB"/>
        </w:rPr>
        <w:t>o establish a forum where not only the pedagogical leaders of the universities meet, but one where also second tier leaders and engaged educators at the N5T universities can meet regularly and exchange experiences, challenges and ambitions.</w:t>
      </w:r>
    </w:p>
    <w:p w:rsidR="00D60155" w:rsidRDefault="00D60155" w:rsidP="00D60155">
      <w:pPr>
        <w:rPr>
          <w:lang w:val="en-GB"/>
        </w:rPr>
      </w:pPr>
      <w:r>
        <w:rPr>
          <w:lang w:val="en-GB"/>
        </w:rPr>
        <w:t xml:space="preserve">It is a cornerstone of engineering and science to learn from mistakes and failures as well as good examples and success stories. By sharing experiences with the intention of learning, modifying and amending procedures, the quality of engineering education at the N5T universities is enhanced. </w:t>
      </w:r>
    </w:p>
    <w:p w:rsidR="00D60155" w:rsidRDefault="00D60155" w:rsidP="00D60155">
      <w:pPr>
        <w:rPr>
          <w:lang w:val="en-GB"/>
        </w:rPr>
      </w:pPr>
      <w:r>
        <w:rPr>
          <w:lang w:val="en-GB"/>
        </w:rPr>
        <w:t xml:space="preserve">Some areas where exchange of experience and examples are desirable concern the treatment </w:t>
      </w:r>
      <w:r w:rsidR="0052331E">
        <w:rPr>
          <w:lang w:val="en-GB"/>
        </w:rPr>
        <w:t>of issues</w:t>
      </w:r>
      <w:r>
        <w:rPr>
          <w:lang w:val="en-GB"/>
        </w:rPr>
        <w:t xml:space="preserve"> relating to gender, diversity, universal design and education for sustainable development. </w:t>
      </w:r>
    </w:p>
    <w:p w:rsidR="0052331E" w:rsidRPr="007D730E" w:rsidRDefault="0052331E" w:rsidP="00D60155"/>
    <w:p w:rsidR="00D60155" w:rsidRPr="0052331E" w:rsidRDefault="000E5402" w:rsidP="0052331E">
      <w:pPr>
        <w:pStyle w:val="Heading1"/>
        <w:numPr>
          <w:ilvl w:val="0"/>
          <w:numId w:val="2"/>
        </w:numPr>
        <w:rPr>
          <w:lang w:val="en-GB"/>
        </w:rPr>
      </w:pPr>
      <w:r w:rsidRPr="0052331E">
        <w:rPr>
          <w:lang w:val="en-GB"/>
        </w:rPr>
        <w:t>Research, Innovation and Industry Relations</w:t>
      </w:r>
      <w:r w:rsidR="007D0D8D" w:rsidRPr="0052331E">
        <w:rPr>
          <w:rFonts w:ascii="Trebuchet MS" w:hAnsi="Trebuchet MS"/>
          <w:sz w:val="28"/>
          <w:szCs w:val="28"/>
          <w:lang w:val="en-GB"/>
        </w:rPr>
        <w:tab/>
      </w:r>
    </w:p>
    <w:p w:rsidR="000E5402" w:rsidRPr="00D60155" w:rsidRDefault="000E5402" w:rsidP="0052331E">
      <w:pPr>
        <w:pStyle w:val="Heading1"/>
        <w:numPr>
          <w:ilvl w:val="1"/>
          <w:numId w:val="17"/>
        </w:numPr>
        <w:rPr>
          <w:rFonts w:ascii="Trebuchet MS" w:hAnsi="Trebuchet MS"/>
          <w:sz w:val="26"/>
          <w:szCs w:val="26"/>
          <w:lang w:val="en-GB"/>
        </w:rPr>
      </w:pPr>
      <w:r w:rsidRPr="00D60155">
        <w:rPr>
          <w:sz w:val="26"/>
          <w:szCs w:val="26"/>
          <w:lang w:val="en-GB"/>
        </w:rPr>
        <w:t>PhD Collaboration</w:t>
      </w:r>
    </w:p>
    <w:p w:rsidR="008C7CB0" w:rsidRDefault="00BE09B3" w:rsidP="00BE09B3">
      <w:pPr>
        <w:rPr>
          <w:lang w:val="en-US"/>
        </w:rPr>
      </w:pPr>
      <w:r>
        <w:rPr>
          <w:lang w:val="en-US"/>
        </w:rPr>
        <w:t xml:space="preserve">With the signing of a </w:t>
      </w:r>
      <w:r w:rsidRPr="007F3814">
        <w:rPr>
          <w:i/>
          <w:lang w:val="en-US"/>
        </w:rPr>
        <w:t>Memorandum of Understanding on PhD collaboration</w:t>
      </w:r>
      <w:r>
        <w:rPr>
          <w:lang w:val="en-US"/>
        </w:rPr>
        <w:t xml:space="preserve"> in June 2016, the Rectors expressed an ambition to strengthen collabor</w:t>
      </w:r>
      <w:r w:rsidR="008C7CB0">
        <w:rPr>
          <w:lang w:val="en-US"/>
        </w:rPr>
        <w:t>ation at the PhD level, related</w:t>
      </w:r>
      <w:r>
        <w:rPr>
          <w:lang w:val="en-US"/>
        </w:rPr>
        <w:t xml:space="preserve"> to supervision and assessment, specialized courses and infrastructure, as well as quality assurance. The N5T PhD course </w:t>
      </w:r>
      <w:r w:rsidRPr="00BE09B3">
        <w:rPr>
          <w:lang w:val="en-US"/>
        </w:rPr>
        <w:t xml:space="preserve">database is seen as an instrument promoting collaboration, and it was confirmed that courses listed will be offered without charging fees from PhD students enrolled at N5T universities. </w:t>
      </w:r>
    </w:p>
    <w:p w:rsidR="00BE09B3" w:rsidRPr="009167AD" w:rsidRDefault="00BE09B3" w:rsidP="00BE09B3">
      <w:pPr>
        <w:rPr>
          <w:lang w:val="en-US"/>
        </w:rPr>
      </w:pPr>
      <w:r w:rsidRPr="00002F9B">
        <w:rPr>
          <w:lang w:val="en-US"/>
        </w:rPr>
        <w:t xml:space="preserve">The PhD Administrative </w:t>
      </w:r>
      <w:r w:rsidR="00551FF9">
        <w:rPr>
          <w:lang w:val="en-US"/>
        </w:rPr>
        <w:t>w</w:t>
      </w:r>
      <w:r w:rsidRPr="00002F9B">
        <w:rPr>
          <w:lang w:val="en-US"/>
        </w:rPr>
        <w:t xml:space="preserve">orking </w:t>
      </w:r>
      <w:r w:rsidR="00551FF9">
        <w:rPr>
          <w:lang w:val="en-US"/>
        </w:rPr>
        <w:t>g</w:t>
      </w:r>
      <w:r w:rsidRPr="00002F9B">
        <w:rPr>
          <w:lang w:val="en-US"/>
        </w:rPr>
        <w:t>roup</w:t>
      </w:r>
      <w:r w:rsidRPr="009167AD">
        <w:rPr>
          <w:lang w:val="en-US"/>
        </w:rPr>
        <w:t xml:space="preserve"> takes administrative responsibility for the continued development of the PhD course database and updated mapping of PhD education requirements at the N5T universities. The number of courses in the database is increasing due to work done at the respective partners to minimize technical and </w:t>
      </w:r>
      <w:r w:rsidR="002167D4" w:rsidRPr="009167AD">
        <w:rPr>
          <w:lang w:val="en-US"/>
        </w:rPr>
        <w:t xml:space="preserve">administrative problems. At </w:t>
      </w:r>
      <w:r w:rsidRPr="009167AD">
        <w:rPr>
          <w:lang w:val="en-US"/>
        </w:rPr>
        <w:t>meeting</w:t>
      </w:r>
      <w:r w:rsidR="002167D4" w:rsidRPr="009167AD">
        <w:rPr>
          <w:lang w:val="en-US"/>
        </w:rPr>
        <w:t>s during</w:t>
      </w:r>
      <w:r w:rsidRPr="009167AD">
        <w:rPr>
          <w:lang w:val="en-US"/>
        </w:rPr>
        <w:t xml:space="preserve"> the past year, information was shared on management system for ISP, training in innovation competencies and national and internal quality systems. Work was also done on a draft memorandum of understanding on co-supervision with mandatory mobility. </w:t>
      </w:r>
    </w:p>
    <w:p w:rsidR="00F60ABE" w:rsidRDefault="002167D4" w:rsidP="00F60ABE">
      <w:r w:rsidRPr="009167AD">
        <w:t>A</w:t>
      </w:r>
      <w:r w:rsidR="00002F9B">
        <w:t xml:space="preserve"> two</w:t>
      </w:r>
      <w:r w:rsidR="00F60ABE" w:rsidRPr="009167AD">
        <w:t>-day workshop on PhD education took place at DTU in Lyngby</w:t>
      </w:r>
      <w:r w:rsidR="00002F9B">
        <w:t xml:space="preserve"> in August 2016</w:t>
      </w:r>
      <w:r w:rsidR="00F60ABE" w:rsidRPr="009167AD">
        <w:t xml:space="preserve">. The point of departure was the </w:t>
      </w:r>
      <w:r w:rsidR="0017463B">
        <w:t>d</w:t>
      </w:r>
      <w:r w:rsidR="00F60ABE" w:rsidRPr="009167AD">
        <w:t xml:space="preserve">iscussion </w:t>
      </w:r>
      <w:r w:rsidR="0017463B">
        <w:t>p</w:t>
      </w:r>
      <w:r w:rsidR="00F60ABE" w:rsidRPr="009167AD">
        <w:t xml:space="preserve">aper “Innovative Doctoral Training at Universities of Science and Technology” which the technical university alliances CESAER, CLUSTER, EuroTech, IDEA League and </w:t>
      </w:r>
      <w:r w:rsidR="004964F4">
        <w:t>N5T</w:t>
      </w:r>
      <w:r w:rsidR="00F60ABE" w:rsidRPr="009167AD">
        <w:t xml:space="preserve"> published jointly in 2015 to contribute to the European debate on the future of doctoral training. The </w:t>
      </w:r>
      <w:r w:rsidR="004964F4">
        <w:t>N5T</w:t>
      </w:r>
      <w:r w:rsidR="00F60ABE" w:rsidRPr="009167AD">
        <w:t xml:space="preserve"> </w:t>
      </w:r>
      <w:r w:rsidRPr="009167AD">
        <w:t xml:space="preserve">universities </w:t>
      </w:r>
      <w:r w:rsidR="00F60ABE" w:rsidRPr="009167AD">
        <w:t xml:space="preserve">were well-represented at the workshop both in the organizing committee and among the panelists and contributed to making the event a success. The recommendations from the workshop regarding quality assurance, supervision, interdisciplinary approaches and more can be downloaded </w:t>
      </w:r>
      <w:hyperlink r:id="rId11" w:history="1">
        <w:r w:rsidR="00F60ABE" w:rsidRPr="009167AD">
          <w:rPr>
            <w:rStyle w:val="Hyperlink"/>
            <w:color w:val="auto"/>
          </w:rPr>
          <w:t>http://www.dtu.dk/english/About/Visits/phd-konference</w:t>
        </w:r>
      </w:hyperlink>
    </w:p>
    <w:p w:rsidR="00002F9B" w:rsidRPr="009167AD" w:rsidRDefault="00002F9B" w:rsidP="00F60ABE"/>
    <w:p w:rsidR="000E5402" w:rsidRPr="00D60155" w:rsidRDefault="00F60ABE" w:rsidP="0052331E">
      <w:pPr>
        <w:pStyle w:val="Heading1"/>
        <w:numPr>
          <w:ilvl w:val="1"/>
          <w:numId w:val="17"/>
        </w:numPr>
        <w:rPr>
          <w:sz w:val="26"/>
          <w:szCs w:val="26"/>
          <w:lang w:val="en-GB"/>
        </w:rPr>
      </w:pPr>
      <w:r w:rsidRPr="00D60155">
        <w:rPr>
          <w:sz w:val="26"/>
          <w:szCs w:val="26"/>
          <w:lang w:val="en-GB"/>
        </w:rPr>
        <w:t xml:space="preserve">Industrial collaboration </w:t>
      </w:r>
    </w:p>
    <w:p w:rsidR="00F60ABE" w:rsidRPr="00465F3E" w:rsidRDefault="00F60ABE" w:rsidP="00465F3E">
      <w:pPr>
        <w:spacing w:line="252" w:lineRule="auto"/>
        <w:rPr>
          <w:rFonts w:ascii="Calibri" w:hAnsi="Calibri"/>
        </w:rPr>
      </w:pPr>
      <w:r w:rsidRPr="00465F3E">
        <w:rPr>
          <w:rFonts w:ascii="Calibri" w:hAnsi="Calibri"/>
        </w:rPr>
        <w:t xml:space="preserve">NTNU, Aalto and DTU engaged with the external consultancy Damvad to carry out an econometric analysis of the impact of university-industry collaboration. </w:t>
      </w:r>
    </w:p>
    <w:p w:rsidR="003F4848" w:rsidRDefault="003F4848" w:rsidP="003F4848">
      <w:pPr>
        <w:rPr>
          <w:rFonts w:ascii="Trebuchet MS" w:hAnsi="Trebuchet MS"/>
          <w:lang w:val="en-GB"/>
        </w:rPr>
      </w:pPr>
      <w:r>
        <w:rPr>
          <w:lang w:val="en-US"/>
        </w:rPr>
        <w:t xml:space="preserve">The Nordic Summit on Universities for Impact 7-8 June 2016 </w:t>
      </w:r>
      <w:r w:rsidR="007928A3">
        <w:rPr>
          <w:lang w:val="en-US"/>
        </w:rPr>
        <w:t xml:space="preserve">in Trondheim </w:t>
      </w:r>
      <w:r>
        <w:rPr>
          <w:lang w:val="en-US"/>
        </w:rPr>
        <w:t>marked the 10</w:t>
      </w:r>
      <w:r w:rsidRPr="006A4770">
        <w:rPr>
          <w:vertAlign w:val="superscript"/>
          <w:lang w:val="en-US"/>
        </w:rPr>
        <w:t>th</w:t>
      </w:r>
      <w:r>
        <w:rPr>
          <w:lang w:val="en-US"/>
        </w:rPr>
        <w:t xml:space="preserve"> anniversary of </w:t>
      </w:r>
      <w:r w:rsidR="004964F4">
        <w:rPr>
          <w:lang w:val="en-US"/>
        </w:rPr>
        <w:t>N5T</w:t>
      </w:r>
      <w:r>
        <w:rPr>
          <w:lang w:val="en-US"/>
        </w:rPr>
        <w:t xml:space="preserve"> collaboration. The N5T Industry Collaboration</w:t>
      </w:r>
      <w:r w:rsidR="007928A3">
        <w:rPr>
          <w:lang w:val="en-US"/>
        </w:rPr>
        <w:t xml:space="preserve"> Network</w:t>
      </w:r>
      <w:r>
        <w:rPr>
          <w:lang w:val="en-US"/>
        </w:rPr>
        <w:t xml:space="preserve"> developed the concept and programme with administrative support from the partner universities. The workshop and summit hosted some 80 leaders from government and industry, research and innovation agencies, university leaders, staff and students. The aim was to develop a shared understanding of how universities contribute to societal impact and how this knowledge can be turned into effective policies and strategies.  </w:t>
      </w:r>
    </w:p>
    <w:p w:rsidR="00F60ABE" w:rsidRPr="00465F3E" w:rsidRDefault="00F60ABE" w:rsidP="00465F3E">
      <w:pPr>
        <w:spacing w:line="252" w:lineRule="auto"/>
        <w:rPr>
          <w:rFonts w:ascii="Calibri" w:hAnsi="Calibri"/>
        </w:rPr>
      </w:pPr>
      <w:r w:rsidRPr="00465F3E">
        <w:rPr>
          <w:rFonts w:ascii="Calibri" w:hAnsi="Calibri"/>
        </w:rPr>
        <w:t xml:space="preserve">In </w:t>
      </w:r>
      <w:r w:rsidR="005B7B2B">
        <w:rPr>
          <w:rFonts w:ascii="Calibri" w:hAnsi="Calibri"/>
        </w:rPr>
        <w:t>August</w:t>
      </w:r>
      <w:r w:rsidR="005B7B2B" w:rsidRPr="00465F3E">
        <w:rPr>
          <w:rFonts w:ascii="Calibri" w:hAnsi="Calibri"/>
        </w:rPr>
        <w:t xml:space="preserve"> </w:t>
      </w:r>
      <w:r w:rsidRPr="00465F3E">
        <w:rPr>
          <w:rFonts w:ascii="Calibri" w:hAnsi="Calibri"/>
        </w:rPr>
        <w:t xml:space="preserve">the </w:t>
      </w:r>
      <w:r w:rsidR="00002F9B">
        <w:rPr>
          <w:rFonts w:ascii="Calibri" w:hAnsi="Calibri"/>
        </w:rPr>
        <w:t>rectors</w:t>
      </w:r>
      <w:r w:rsidRPr="00465F3E">
        <w:rPr>
          <w:rFonts w:ascii="Calibri" w:hAnsi="Calibri"/>
        </w:rPr>
        <w:t xml:space="preserve"> wrote a common feature art</w:t>
      </w:r>
      <w:r w:rsidR="00002F9B">
        <w:rPr>
          <w:rFonts w:ascii="Calibri" w:hAnsi="Calibri"/>
        </w:rPr>
        <w:t xml:space="preserve">icle to Adresseavisen, </w:t>
      </w:r>
      <w:r w:rsidRPr="00465F3E">
        <w:rPr>
          <w:rFonts w:ascii="Calibri" w:hAnsi="Calibri"/>
        </w:rPr>
        <w:t>which took out conclusions from the conference.</w:t>
      </w:r>
    </w:p>
    <w:p w:rsidR="00F60ABE" w:rsidRPr="00465F3E" w:rsidRDefault="00F60ABE" w:rsidP="00465F3E">
      <w:pPr>
        <w:spacing w:line="252" w:lineRule="auto"/>
        <w:rPr>
          <w:rFonts w:ascii="Calibri" w:hAnsi="Calibri"/>
        </w:rPr>
      </w:pPr>
      <w:r w:rsidRPr="00465F3E">
        <w:rPr>
          <w:rFonts w:ascii="Calibri" w:hAnsi="Calibri"/>
        </w:rPr>
        <w:t>In December, DTU met with the Nordic Council of Ministers to pave the way for a collaboration on the innovation agenda during the Norwegian presidency in 2017.</w:t>
      </w:r>
    </w:p>
    <w:p w:rsidR="003F4848" w:rsidRDefault="00F60ABE" w:rsidP="003F4848">
      <w:pPr>
        <w:spacing w:line="252" w:lineRule="auto"/>
        <w:rPr>
          <w:rFonts w:ascii="Calibri" w:hAnsi="Calibri"/>
        </w:rPr>
      </w:pPr>
      <w:r w:rsidRPr="00465F3E">
        <w:rPr>
          <w:rFonts w:ascii="Calibri" w:hAnsi="Calibri"/>
        </w:rPr>
        <w:t xml:space="preserve">In January, the Norwegian Presidency (Kunnskapsdepartementet) invited representatives </w:t>
      </w:r>
      <w:r w:rsidR="00465F3E">
        <w:rPr>
          <w:rFonts w:ascii="Calibri" w:hAnsi="Calibri"/>
        </w:rPr>
        <w:t xml:space="preserve">from NTNU and DTU to a meeting.  </w:t>
      </w:r>
      <w:r w:rsidRPr="00465F3E">
        <w:rPr>
          <w:rFonts w:ascii="Calibri" w:hAnsi="Calibri"/>
        </w:rPr>
        <w:t xml:space="preserve">Subsequently </w:t>
      </w:r>
      <w:r w:rsidR="00002F9B">
        <w:rPr>
          <w:rFonts w:ascii="Calibri" w:hAnsi="Calibri"/>
        </w:rPr>
        <w:t>suggestions from N5T</w:t>
      </w:r>
      <w:r w:rsidR="007928A3">
        <w:rPr>
          <w:rFonts w:ascii="Calibri" w:hAnsi="Calibri"/>
        </w:rPr>
        <w:t>,</w:t>
      </w:r>
      <w:r w:rsidR="00002F9B">
        <w:rPr>
          <w:rFonts w:ascii="Calibri" w:hAnsi="Calibri"/>
        </w:rPr>
        <w:t xml:space="preserve"> </w:t>
      </w:r>
      <w:r w:rsidR="007928A3">
        <w:rPr>
          <w:rFonts w:ascii="Calibri" w:hAnsi="Calibri"/>
        </w:rPr>
        <w:t xml:space="preserve">mainly through the efforts of NTNU, </w:t>
      </w:r>
      <w:r w:rsidR="00002F9B">
        <w:rPr>
          <w:rFonts w:ascii="Calibri" w:hAnsi="Calibri"/>
        </w:rPr>
        <w:t xml:space="preserve">were </w:t>
      </w:r>
      <w:r w:rsidRPr="00465F3E">
        <w:rPr>
          <w:rFonts w:ascii="Calibri" w:hAnsi="Calibri"/>
        </w:rPr>
        <w:t>submitted as an input to the preparation of the chairmanship.</w:t>
      </w:r>
    </w:p>
    <w:p w:rsidR="00F60ABE" w:rsidRPr="007928A3" w:rsidRDefault="00F60ABE" w:rsidP="003F4848">
      <w:pPr>
        <w:spacing w:line="252" w:lineRule="auto"/>
        <w:rPr>
          <w:rFonts w:ascii="Calibri" w:hAnsi="Calibri"/>
        </w:rPr>
      </w:pPr>
      <w:r>
        <w:t xml:space="preserve">As a result N5T is now listed as a partner in </w:t>
      </w:r>
      <w:r w:rsidRPr="007928A3">
        <w:t>the “</w:t>
      </w:r>
      <w:r w:rsidRPr="007928A3">
        <w:rPr>
          <w:bCs/>
        </w:rPr>
        <w:t>Sektorprog</w:t>
      </w:r>
      <w:r w:rsidR="00002F9B" w:rsidRPr="007928A3">
        <w:rPr>
          <w:bCs/>
        </w:rPr>
        <w:t>ram for Utdanning og Forskning”.</w:t>
      </w:r>
    </w:p>
    <w:p w:rsidR="00F60ABE" w:rsidRPr="00F60ABE" w:rsidRDefault="00F60ABE" w:rsidP="00F60ABE"/>
    <w:p w:rsidR="000E5402" w:rsidRDefault="000E5402" w:rsidP="0052331E">
      <w:pPr>
        <w:pStyle w:val="Heading1"/>
        <w:numPr>
          <w:ilvl w:val="0"/>
          <w:numId w:val="17"/>
        </w:numPr>
        <w:rPr>
          <w:lang w:val="en-GB"/>
        </w:rPr>
      </w:pPr>
      <w:r>
        <w:rPr>
          <w:lang w:val="en-GB"/>
        </w:rPr>
        <w:t>Organization and Communication</w:t>
      </w:r>
    </w:p>
    <w:p w:rsidR="00776195" w:rsidRPr="00227606" w:rsidRDefault="00776195" w:rsidP="00776195">
      <w:pPr>
        <w:rPr>
          <w:rStyle w:val="Heading2Char"/>
          <w:rFonts w:asciiTheme="minorHAnsi" w:eastAsiaTheme="minorHAnsi" w:hAnsiTheme="minorHAnsi" w:cstheme="minorBidi"/>
          <w:color w:val="auto"/>
          <w:sz w:val="22"/>
          <w:szCs w:val="22"/>
          <w:lang w:val="en-GB"/>
        </w:rPr>
      </w:pPr>
    </w:p>
    <w:p w:rsidR="00776195" w:rsidRPr="00D60155" w:rsidRDefault="00776195" w:rsidP="0052331E">
      <w:pPr>
        <w:pStyle w:val="ListParagraph"/>
        <w:numPr>
          <w:ilvl w:val="1"/>
          <w:numId w:val="17"/>
        </w:numPr>
        <w:rPr>
          <w:rStyle w:val="Heading2Char"/>
          <w:lang w:val="en-US"/>
        </w:rPr>
      </w:pPr>
      <w:r w:rsidRPr="00D60155">
        <w:rPr>
          <w:rStyle w:val="Heading2Char"/>
          <w:lang w:val="en-US"/>
        </w:rPr>
        <w:t>Communication</w:t>
      </w:r>
    </w:p>
    <w:p w:rsidR="00F60ABE" w:rsidRPr="00776195" w:rsidRDefault="00F60ABE" w:rsidP="00776195">
      <w:pPr>
        <w:rPr>
          <w:rFonts w:asciiTheme="majorHAnsi" w:eastAsiaTheme="majorEastAsia" w:hAnsiTheme="majorHAnsi" w:cstheme="majorBidi"/>
          <w:color w:val="2E74B5" w:themeColor="accent1" w:themeShade="BF"/>
          <w:sz w:val="26"/>
          <w:szCs w:val="26"/>
          <w:lang w:val="en-US"/>
        </w:rPr>
      </w:pPr>
      <w:r w:rsidRPr="00776195">
        <w:rPr>
          <w:rFonts w:ascii="Calibri" w:hAnsi="Calibri"/>
        </w:rPr>
        <w:t>The N5T WG Communication continued its work with developing the webpages for the joint Master’s programmes located on each university website. The transition to joint admission also led to some changes in how traffic is directed between the webpages. Website statistics from each university show no significant changes in the number of visitors, and the input from the programme</w:t>
      </w:r>
      <w:r w:rsidRPr="00776195">
        <w:rPr>
          <w:lang w:val="en-GB"/>
        </w:rPr>
        <w:t xml:space="preserve"> administration at the universities has been predominantly positive. </w:t>
      </w:r>
    </w:p>
    <w:p w:rsidR="00F60ABE" w:rsidRPr="00227606" w:rsidRDefault="00F60ABE" w:rsidP="00F60ABE">
      <w:pPr>
        <w:rPr>
          <w:lang w:val="en-GB"/>
        </w:rPr>
      </w:pPr>
      <w:r w:rsidRPr="00227606">
        <w:rPr>
          <w:lang w:val="en-GB"/>
        </w:rPr>
        <w:t>During</w:t>
      </w:r>
      <w:r w:rsidR="00227606">
        <w:rPr>
          <w:lang w:val="en-GB"/>
        </w:rPr>
        <w:t xml:space="preserve"> the year the working group has</w:t>
      </w:r>
      <w:r w:rsidRPr="00227606">
        <w:rPr>
          <w:lang w:val="en-GB"/>
        </w:rPr>
        <w:t xml:space="preserve"> developed the alliance web</w:t>
      </w:r>
      <w:r w:rsidR="00227606">
        <w:rPr>
          <w:lang w:val="en-GB"/>
        </w:rPr>
        <w:t xml:space="preserve">site based on a brief from the </w:t>
      </w:r>
      <w:r w:rsidR="002E4D95">
        <w:rPr>
          <w:lang w:val="en-GB"/>
        </w:rPr>
        <w:t xml:space="preserve">N5T </w:t>
      </w:r>
      <w:r w:rsidR="00227606">
        <w:rPr>
          <w:lang w:val="en-GB"/>
        </w:rPr>
        <w:t>S</w:t>
      </w:r>
      <w:r w:rsidRPr="00227606">
        <w:rPr>
          <w:lang w:val="en-GB"/>
        </w:rPr>
        <w:t xml:space="preserve">ecretariat. The revised website launched in November. Traffic is still on the same level, but users tend to get to what they are looking for faster, mostly the joint Master’s programme websites. </w:t>
      </w:r>
    </w:p>
    <w:p w:rsidR="002304AB" w:rsidRDefault="00F60ABE" w:rsidP="002304AB">
      <w:pPr>
        <w:rPr>
          <w:lang w:val="en-GB"/>
        </w:rPr>
      </w:pPr>
      <w:r w:rsidRPr="00227606">
        <w:rPr>
          <w:lang w:val="en-GB"/>
        </w:rPr>
        <w:t>The working group has supported the alliance in the development of internal communication to staff and students, for example the PhD course database and the student handbook.</w:t>
      </w:r>
    </w:p>
    <w:p w:rsidR="00776195" w:rsidRPr="00227606" w:rsidRDefault="00776195" w:rsidP="002304AB">
      <w:pPr>
        <w:rPr>
          <w:rStyle w:val="Heading2Char"/>
          <w:rFonts w:asciiTheme="minorHAnsi" w:eastAsiaTheme="minorHAnsi" w:hAnsiTheme="minorHAnsi" w:cstheme="minorBidi"/>
          <w:color w:val="auto"/>
          <w:sz w:val="22"/>
          <w:szCs w:val="22"/>
          <w:lang w:val="en-GB"/>
        </w:rPr>
      </w:pPr>
    </w:p>
    <w:p w:rsidR="00AE6E7C" w:rsidRPr="0047721C" w:rsidRDefault="00AE6E7C" w:rsidP="0052331E">
      <w:pPr>
        <w:pStyle w:val="ListParagraph"/>
        <w:numPr>
          <w:ilvl w:val="1"/>
          <w:numId w:val="17"/>
        </w:numPr>
        <w:rPr>
          <w:rStyle w:val="Heading2Char"/>
          <w:lang w:val="en-US"/>
        </w:rPr>
      </w:pPr>
      <w:r w:rsidRPr="0047721C">
        <w:rPr>
          <w:rStyle w:val="Heading2Char"/>
          <w:lang w:val="en-US"/>
        </w:rPr>
        <w:t>CESAER and TU alliances speaking with one voice</w:t>
      </w:r>
    </w:p>
    <w:p w:rsidR="00402B55" w:rsidRDefault="00776195" w:rsidP="00AE6E7C">
      <w:pPr>
        <w:rPr>
          <w:lang w:val="en-US"/>
        </w:rPr>
      </w:pPr>
      <w:r>
        <w:rPr>
          <w:lang w:val="en-US"/>
        </w:rPr>
        <w:t>Regarding</w:t>
      </w:r>
      <w:r w:rsidR="00AE6E7C">
        <w:rPr>
          <w:lang w:val="en-US"/>
        </w:rPr>
        <w:t xml:space="preserve"> the “TU alliances spea</w:t>
      </w:r>
      <w:r>
        <w:rPr>
          <w:lang w:val="en-US"/>
        </w:rPr>
        <w:t>king with one voice initiative”, discussions regarding the implemen</w:t>
      </w:r>
      <w:r w:rsidR="004E300D">
        <w:rPr>
          <w:lang w:val="en-US"/>
        </w:rPr>
        <w:t>tation of this initiative have been ongoing during the past year.  The conclusion was made that the various university networks should collaborate on a more informal level and that the focus of the different networks varies to such a large extent that a joint opinion in all matters is difficult if not impossible to obtain.</w:t>
      </w:r>
      <w:r w:rsidR="00AE6E7C">
        <w:rPr>
          <w:lang w:val="en-US"/>
        </w:rPr>
        <w:t xml:space="preserve"> </w:t>
      </w:r>
    </w:p>
    <w:p w:rsidR="00402B55" w:rsidRDefault="004E300D" w:rsidP="00AE6E7C">
      <w:pPr>
        <w:rPr>
          <w:lang w:val="en-US"/>
        </w:rPr>
      </w:pPr>
      <w:r>
        <w:rPr>
          <w:lang w:val="en-US"/>
        </w:rPr>
        <w:t>Showing a common standpoint</w:t>
      </w:r>
      <w:r w:rsidR="00AE6E7C">
        <w:rPr>
          <w:lang w:val="en-US"/>
        </w:rPr>
        <w:t xml:space="preserve"> on EU policy matters is </w:t>
      </w:r>
      <w:r>
        <w:rPr>
          <w:lang w:val="en-US"/>
        </w:rPr>
        <w:t xml:space="preserve">still considered to be </w:t>
      </w:r>
      <w:r w:rsidR="00AE6E7C">
        <w:rPr>
          <w:lang w:val="en-US"/>
        </w:rPr>
        <w:t>an important element in th</w:t>
      </w:r>
      <w:r w:rsidR="00324AC3">
        <w:rPr>
          <w:lang w:val="en-US"/>
        </w:rPr>
        <w:t>e TU-alliance</w:t>
      </w:r>
      <w:r>
        <w:rPr>
          <w:lang w:val="en-US"/>
        </w:rPr>
        <w:t xml:space="preserve"> initiative, and where possible statements should be circulated between the networks in order to be able to </w:t>
      </w:r>
      <w:r w:rsidR="00BF6D7A">
        <w:rPr>
          <w:lang w:val="en-US"/>
        </w:rPr>
        <w:t>refer to each other’s statements.</w:t>
      </w:r>
    </w:p>
    <w:p w:rsidR="00D60155" w:rsidRDefault="00AE6E7C" w:rsidP="00D60155">
      <w:pPr>
        <w:rPr>
          <w:lang w:val="en-US"/>
        </w:rPr>
      </w:pPr>
      <w:r>
        <w:rPr>
          <w:lang w:val="en-US"/>
        </w:rPr>
        <w:t xml:space="preserve">After KTH took over the Chair in April, KTH has steered </w:t>
      </w:r>
      <w:r w:rsidR="004964F4">
        <w:rPr>
          <w:lang w:val="en-US"/>
        </w:rPr>
        <w:t>N5T</w:t>
      </w:r>
      <w:r>
        <w:rPr>
          <w:lang w:val="en-US"/>
        </w:rPr>
        <w:t xml:space="preserve"> through the challenging task of developing a joint statement on the highly debated European Innovation Council. </w:t>
      </w:r>
    </w:p>
    <w:p w:rsidR="00D60155" w:rsidRDefault="00D60155" w:rsidP="00D60155">
      <w:pPr>
        <w:rPr>
          <w:lang w:val="en-US"/>
        </w:rPr>
      </w:pPr>
    </w:p>
    <w:p w:rsidR="00D60155" w:rsidRPr="00D60155" w:rsidRDefault="00D60155" w:rsidP="0052331E">
      <w:pPr>
        <w:pStyle w:val="ListParagraph"/>
        <w:numPr>
          <w:ilvl w:val="1"/>
          <w:numId w:val="17"/>
        </w:numPr>
        <w:rPr>
          <w:rStyle w:val="Heading2Char"/>
          <w:lang w:val="en-US"/>
        </w:rPr>
      </w:pPr>
      <w:r w:rsidRPr="00D60155">
        <w:rPr>
          <w:rStyle w:val="Heading2Char"/>
          <w:lang w:val="en-US"/>
        </w:rPr>
        <w:t>Gender Mainstreaming Workshop</w:t>
      </w:r>
    </w:p>
    <w:p w:rsidR="00D60155" w:rsidRDefault="00D60155" w:rsidP="00D60155">
      <w:r>
        <w:t xml:space="preserve">On March 15th 2017 representatives from three of the Universities in the alliance met at Chalmers to discuss the gender mainstreaming process at the participating Universities. Thereafter the representatives from DTU presented the opportunity to make an application for gender mainstreaming funding within Horizon 2020. It was agreed that discussions will continue after the workshop regarding how we can collaborate </w:t>
      </w:r>
      <w:r w:rsidR="00CA042B">
        <w:t xml:space="preserve">on gender and/or diversity issues </w:t>
      </w:r>
      <w:r>
        <w:t>in the future.</w:t>
      </w:r>
    </w:p>
    <w:p w:rsidR="00D60155" w:rsidRPr="00D60155" w:rsidRDefault="00D60155" w:rsidP="00AE6E7C">
      <w:pPr>
        <w:rPr>
          <w:rFonts w:asciiTheme="majorHAnsi" w:eastAsiaTheme="majorEastAsia" w:hAnsiTheme="majorHAnsi" w:cstheme="majorBidi"/>
          <w:color w:val="2E74B5" w:themeColor="accent1" w:themeShade="BF"/>
          <w:sz w:val="26"/>
          <w:szCs w:val="26"/>
        </w:rPr>
      </w:pPr>
    </w:p>
    <w:p w:rsidR="007B27D8" w:rsidRDefault="007B27D8" w:rsidP="00F04EAB">
      <w:pPr>
        <w:rPr>
          <w:rStyle w:val="Heading2Char"/>
          <w:lang w:val="en-US"/>
        </w:rPr>
      </w:pPr>
    </w:p>
    <w:p w:rsidR="007B27D8" w:rsidRDefault="003A3C0C" w:rsidP="00F04EAB">
      <w:pPr>
        <w:rPr>
          <w:rStyle w:val="Heading2Char"/>
          <w:lang w:val="en-US"/>
        </w:rPr>
      </w:pPr>
      <w:r>
        <w:rPr>
          <w:rStyle w:val="Heading2Char"/>
          <w:lang w:val="en-US"/>
        </w:rPr>
        <w:br/>
      </w:r>
    </w:p>
    <w:p w:rsidR="00F04EAB" w:rsidRDefault="00F04EAB" w:rsidP="00F04EAB">
      <w:pPr>
        <w:rPr>
          <w:rStyle w:val="Heading2Char"/>
          <w:lang w:val="en-GB"/>
        </w:rPr>
      </w:pPr>
      <w:r>
        <w:rPr>
          <w:rStyle w:val="Heading2Char"/>
          <w:lang w:val="en-GB"/>
        </w:rPr>
        <w:t>Annexes:</w:t>
      </w:r>
    </w:p>
    <w:p w:rsidR="00402B55" w:rsidRDefault="004964F4" w:rsidP="00F04EAB">
      <w:pPr>
        <w:pStyle w:val="ListParagraph"/>
        <w:numPr>
          <w:ilvl w:val="0"/>
          <w:numId w:val="7"/>
        </w:numPr>
        <w:rPr>
          <w:rStyle w:val="Heading2Char"/>
          <w:lang w:val="en-GB"/>
        </w:rPr>
      </w:pPr>
      <w:r>
        <w:rPr>
          <w:rStyle w:val="Heading2Char"/>
          <w:lang w:val="en-GB"/>
        </w:rPr>
        <w:t>N5T</w:t>
      </w:r>
      <w:r w:rsidR="00402B55">
        <w:rPr>
          <w:rStyle w:val="Heading2Char"/>
          <w:lang w:val="en-GB"/>
        </w:rPr>
        <w:t xml:space="preserve"> Activity Chart</w:t>
      </w:r>
    </w:p>
    <w:p w:rsidR="00F04EAB" w:rsidRDefault="00F04EAB" w:rsidP="00F04EAB">
      <w:pPr>
        <w:pStyle w:val="ListParagraph"/>
        <w:numPr>
          <w:ilvl w:val="0"/>
          <w:numId w:val="7"/>
        </w:numPr>
        <w:rPr>
          <w:rStyle w:val="Heading2Char"/>
          <w:lang w:val="en-GB"/>
        </w:rPr>
      </w:pPr>
      <w:r>
        <w:rPr>
          <w:rStyle w:val="Heading2Char"/>
          <w:lang w:val="en-GB"/>
        </w:rPr>
        <w:t>Joint Master Programme Statistics</w:t>
      </w:r>
    </w:p>
    <w:p w:rsidR="00402B55" w:rsidRDefault="005C79EB" w:rsidP="005C79EB">
      <w:pPr>
        <w:rPr>
          <w:rFonts w:ascii="Times New Roman" w:hAnsi="Times New Roman" w:cs="Times New Roman"/>
          <w:color w:val="FFFFFF"/>
          <w:sz w:val="24"/>
          <w:szCs w:val="24"/>
        </w:rPr>
      </w:pPr>
      <w:r>
        <w:rPr>
          <w:rFonts w:ascii="Times New Roman" w:hAnsi="Times New Roman" w:cs="Times New Roman"/>
          <w:color w:val="FFFFFF"/>
          <w:sz w:val="24"/>
          <w:szCs w:val="24"/>
        </w:rPr>
        <w:t>Committee</w:t>
      </w:r>
    </w:p>
    <w:p w:rsidR="007B27D8" w:rsidRDefault="007B27D8">
      <w:pPr>
        <w:rPr>
          <w:rStyle w:val="Heading2Char"/>
          <w:sz w:val="32"/>
        </w:rPr>
      </w:pPr>
      <w:r>
        <w:rPr>
          <w:rStyle w:val="Heading2Char"/>
          <w:sz w:val="32"/>
        </w:rPr>
        <w:br w:type="page"/>
      </w:r>
    </w:p>
    <w:p w:rsidR="00324AC3" w:rsidRDefault="00324AC3" w:rsidP="00402B55">
      <w:pPr>
        <w:pStyle w:val="Heading2"/>
        <w:rPr>
          <w:rStyle w:val="Heading2Char"/>
          <w:sz w:val="32"/>
        </w:rPr>
      </w:pPr>
    </w:p>
    <w:p w:rsidR="00402B55" w:rsidRPr="00402B55" w:rsidRDefault="00402B55" w:rsidP="00402B55">
      <w:pPr>
        <w:pStyle w:val="Heading2"/>
        <w:rPr>
          <w:rStyle w:val="Heading2Char"/>
          <w:sz w:val="32"/>
        </w:rPr>
      </w:pPr>
      <w:r w:rsidRPr="00402B55">
        <w:rPr>
          <w:rStyle w:val="Heading2Char"/>
          <w:sz w:val="32"/>
        </w:rPr>
        <w:t xml:space="preserve">Annex 1 – </w:t>
      </w:r>
      <w:r w:rsidR="004964F4">
        <w:rPr>
          <w:rStyle w:val="Heading2Char"/>
          <w:sz w:val="32"/>
        </w:rPr>
        <w:t>N5T</w:t>
      </w:r>
      <w:r w:rsidRPr="00402B55">
        <w:rPr>
          <w:rStyle w:val="Heading2Char"/>
          <w:sz w:val="32"/>
        </w:rPr>
        <w:t xml:space="preserve"> Activity Chart </w:t>
      </w:r>
      <w:r w:rsidR="007B27D8">
        <w:rPr>
          <w:rStyle w:val="Heading2Char"/>
          <w:sz w:val="32"/>
        </w:rPr>
        <w:t>2016</w:t>
      </w:r>
      <w:r w:rsidR="00274F16">
        <w:rPr>
          <w:rStyle w:val="Heading2Char"/>
          <w:sz w:val="32"/>
        </w:rPr>
        <w:t>-</w:t>
      </w:r>
      <w:r w:rsidR="007B27D8">
        <w:rPr>
          <w:rStyle w:val="Heading2Char"/>
          <w:sz w:val="32"/>
        </w:rPr>
        <w:t>2017</w:t>
      </w:r>
    </w:p>
    <w:p w:rsidR="00402B55" w:rsidRDefault="00402B55" w:rsidP="005C79EB">
      <w:pPr>
        <w:rPr>
          <w:rStyle w:val="Heading2Char"/>
          <w:lang w:val="en-GB"/>
        </w:rPr>
      </w:pPr>
    </w:p>
    <w:p w:rsidR="006E1EC2" w:rsidRPr="00104749" w:rsidRDefault="00104749" w:rsidP="005C79EB">
      <w:pPr>
        <w:rPr>
          <w:rStyle w:val="Heading2Char"/>
          <w:lang w:val="en-US"/>
        </w:rPr>
      </w:pPr>
      <w:r>
        <w:rPr>
          <w:rFonts w:asciiTheme="majorHAnsi" w:eastAsiaTheme="majorEastAsia" w:hAnsiTheme="majorHAnsi" w:cstheme="majorBidi"/>
          <w:noProof/>
          <w:color w:val="2E74B5" w:themeColor="accent1" w:themeShade="BF"/>
          <w:sz w:val="26"/>
          <w:szCs w:val="26"/>
          <w:lang w:val="da-DK" w:eastAsia="da-DK"/>
        </w:rPr>
        <w:drawing>
          <wp:inline distT="0" distB="0" distL="0" distR="0" wp14:anchorId="5B0F2590" wp14:editId="6F20F8D9">
            <wp:extent cx="6324600" cy="573786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7601" cy="5731510"/>
                    </a:xfrm>
                    <a:prstGeom prst="rect">
                      <a:avLst/>
                    </a:prstGeom>
                    <a:noFill/>
                    <a:ln>
                      <a:noFill/>
                    </a:ln>
                  </pic:spPr>
                </pic:pic>
              </a:graphicData>
            </a:graphic>
          </wp:inline>
        </w:drawing>
      </w:r>
    </w:p>
    <w:p w:rsidR="00F04EAB" w:rsidRPr="00104749" w:rsidRDefault="00274F16" w:rsidP="00104749">
      <w:pPr>
        <w:rPr>
          <w:rStyle w:val="Heading2Char"/>
          <w:lang w:val="en-GB"/>
        </w:rPr>
      </w:pPr>
      <w:r>
        <w:rPr>
          <w:noProof/>
          <w:lang w:val="da-DK" w:eastAsia="da-DK"/>
        </w:rPr>
        <mc:AlternateContent>
          <mc:Choice Requires="wps">
            <w:drawing>
              <wp:anchor distT="0" distB="0" distL="114300" distR="114300" simplePos="0" relativeHeight="251659264" behindDoc="0" locked="0" layoutInCell="1" allowOverlap="1" wp14:anchorId="5EF7A07B" wp14:editId="5CD46E11">
                <wp:simplePos x="0" y="0"/>
                <wp:positionH relativeFrom="column">
                  <wp:posOffset>4981575</wp:posOffset>
                </wp:positionH>
                <wp:positionV relativeFrom="paragraph">
                  <wp:posOffset>243840</wp:posOffset>
                </wp:positionV>
                <wp:extent cx="514350" cy="152400"/>
                <wp:effectExtent l="0" t="0" r="0" b="0"/>
                <wp:wrapNone/>
                <wp:docPr id="6" name="Rektangel 6"/>
                <wp:cNvGraphicFramePr/>
                <a:graphic xmlns:a="http://schemas.openxmlformats.org/drawingml/2006/main">
                  <a:graphicData uri="http://schemas.microsoft.com/office/word/2010/wordprocessingShape">
                    <wps:wsp>
                      <wps:cNvSpPr/>
                      <wps:spPr>
                        <a:xfrm>
                          <a:off x="0" y="0"/>
                          <a:ext cx="514350"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55238" id="Rektangel 6" o:spid="_x0000_s1026" style="position:absolute;margin-left:392.25pt;margin-top:19.2pt;width:4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" fillcolor="white [3212]" stroked="f" strokeweight="1pt"/>
            </w:pict>
          </mc:Fallback>
        </mc:AlternateContent>
      </w:r>
      <w:r w:rsidR="00F04EAB">
        <w:rPr>
          <w:rStyle w:val="Heading2Char"/>
          <w:lang w:val="en-GB"/>
        </w:rPr>
        <w:br w:type="page"/>
      </w:r>
      <w:r w:rsidR="00F04EAB" w:rsidRPr="007837C0">
        <w:rPr>
          <w:rStyle w:val="Heading2Char"/>
          <w:sz w:val="32"/>
          <w:szCs w:val="32"/>
          <w:lang w:val="en-US"/>
        </w:rPr>
        <w:t xml:space="preserve">Annex </w:t>
      </w:r>
      <w:r w:rsidR="00402B55">
        <w:rPr>
          <w:rStyle w:val="Heading2Char"/>
          <w:sz w:val="32"/>
          <w:szCs w:val="32"/>
          <w:lang w:val="en-US"/>
        </w:rPr>
        <w:t>2</w:t>
      </w:r>
      <w:r w:rsidR="00F04EAB" w:rsidRPr="007837C0">
        <w:rPr>
          <w:rStyle w:val="Heading2Char"/>
          <w:sz w:val="32"/>
          <w:szCs w:val="32"/>
          <w:lang w:val="en-US"/>
        </w:rPr>
        <w:t xml:space="preserve"> – </w:t>
      </w:r>
      <w:r w:rsidR="007F3814" w:rsidRPr="007837C0">
        <w:rPr>
          <w:rStyle w:val="Heading2Char"/>
          <w:sz w:val="32"/>
          <w:szCs w:val="32"/>
          <w:lang w:val="en-US"/>
        </w:rPr>
        <w:t>Joint Master Programme Statistics</w:t>
      </w:r>
    </w:p>
    <w:p w:rsidR="00402B55" w:rsidRPr="00402B55" w:rsidRDefault="00402B55" w:rsidP="00402B55">
      <w:pPr>
        <w:rPr>
          <w:lang w:val="en-US"/>
        </w:rPr>
      </w:pPr>
    </w:p>
    <w:p w:rsidR="00F04EAB" w:rsidRDefault="00104749" w:rsidP="00F04EAB">
      <w:pPr>
        <w:rPr>
          <w:rStyle w:val="Heading2Char"/>
          <w:lang w:val="en-GB"/>
        </w:rPr>
      </w:pPr>
      <w:r w:rsidRPr="00104749">
        <w:rPr>
          <w:rStyle w:val="Heading2Char"/>
          <w:noProof/>
          <w:lang w:val="da-DK" w:eastAsia="da-DK"/>
        </w:rPr>
        <w:drawing>
          <wp:inline distT="0" distB="0" distL="0" distR="0" wp14:anchorId="5C8F64C8" wp14:editId="041A27FF">
            <wp:extent cx="601980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24814" cy="3416603"/>
                    </a:xfrm>
                    <a:prstGeom prst="rect">
                      <a:avLst/>
                    </a:prstGeom>
                  </pic:spPr>
                </pic:pic>
              </a:graphicData>
            </a:graphic>
          </wp:inline>
        </w:drawing>
      </w:r>
    </w:p>
    <w:p w:rsidR="007F3814" w:rsidRDefault="007F3814" w:rsidP="00F04EAB">
      <w:pPr>
        <w:rPr>
          <w:rStyle w:val="Heading2Char"/>
          <w:lang w:val="en-GB"/>
        </w:rPr>
      </w:pPr>
    </w:p>
    <w:p w:rsidR="007F3814" w:rsidRPr="00F04EAB" w:rsidRDefault="00104749" w:rsidP="00F04EAB">
      <w:pPr>
        <w:rPr>
          <w:rStyle w:val="Heading2Char"/>
          <w:lang w:val="en-GB"/>
        </w:rPr>
      </w:pPr>
      <w:r w:rsidRPr="00104749">
        <w:rPr>
          <w:rStyle w:val="Heading2Char"/>
          <w:noProof/>
          <w:lang w:val="da-DK" w:eastAsia="da-DK"/>
        </w:rPr>
        <w:drawing>
          <wp:inline distT="0" distB="0" distL="0" distR="0" wp14:anchorId="7A7D2538" wp14:editId="2E09CF67">
            <wp:extent cx="6019800"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015740" cy="2901262"/>
                    </a:xfrm>
                    <a:prstGeom prst="rect">
                      <a:avLst/>
                    </a:prstGeom>
                  </pic:spPr>
                </pic:pic>
              </a:graphicData>
            </a:graphic>
          </wp:inline>
        </w:drawing>
      </w:r>
    </w:p>
    <w:sectPr w:rsidR="007F3814" w:rsidRPr="00F04EAB" w:rsidSect="000763F9">
      <w:headerReference w:type="default" r:id="rId15"/>
      <w:footerReference w:type="default" r:id="rId16"/>
      <w:pgSz w:w="11906" w:h="16838"/>
      <w:pgMar w:top="2114" w:right="1440" w:bottom="1134" w:left="1440"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966" w:rsidRDefault="00CA6966" w:rsidP="000E5402">
      <w:pPr>
        <w:spacing w:after="0" w:line="240" w:lineRule="auto"/>
      </w:pPr>
      <w:r>
        <w:separator/>
      </w:r>
    </w:p>
  </w:endnote>
  <w:endnote w:type="continuationSeparator" w:id="0">
    <w:p w:rsidR="00CA6966" w:rsidRDefault="00CA6966" w:rsidP="000E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kzidenz-Bd for Chalmer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553696"/>
      <w:docPartObj>
        <w:docPartGallery w:val="Page Numbers (Bottom of Page)"/>
        <w:docPartUnique/>
      </w:docPartObj>
    </w:sdtPr>
    <w:sdtEndPr/>
    <w:sdtContent>
      <w:p w:rsidR="00587D5D" w:rsidRDefault="00587D5D">
        <w:pPr>
          <w:pStyle w:val="Footer"/>
          <w:jc w:val="center"/>
        </w:pPr>
        <w:r>
          <w:fldChar w:fldCharType="begin"/>
        </w:r>
        <w:r>
          <w:instrText>PAGE   \* MERGEFORMAT</w:instrText>
        </w:r>
        <w:r>
          <w:fldChar w:fldCharType="separate"/>
        </w:r>
        <w:r w:rsidR="006B73CD">
          <w:rPr>
            <w:noProof/>
          </w:rPr>
          <w:t>1</w:t>
        </w:r>
        <w:r>
          <w:fldChar w:fldCharType="end"/>
        </w:r>
      </w:p>
    </w:sdtContent>
  </w:sdt>
  <w:p w:rsidR="00587D5D" w:rsidRDefault="00587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966" w:rsidRDefault="00CA6966" w:rsidP="000E5402">
      <w:pPr>
        <w:spacing w:after="0" w:line="240" w:lineRule="auto"/>
      </w:pPr>
      <w:r>
        <w:separator/>
      </w:r>
    </w:p>
  </w:footnote>
  <w:footnote w:type="continuationSeparator" w:id="0">
    <w:p w:rsidR="00CA6966" w:rsidRDefault="00CA6966" w:rsidP="000E5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402" w:rsidRDefault="000C7A9D" w:rsidP="000E5402">
    <w:pPr>
      <w:pStyle w:val="Header"/>
      <w:rPr>
        <w:rFonts w:ascii="Trebuchet MS" w:hAnsi="Trebuchet MS"/>
        <w:b/>
        <w:sz w:val="32"/>
        <w:szCs w:val="32"/>
        <w:lang w:val="en-GB"/>
      </w:rPr>
    </w:pPr>
    <w:r>
      <w:rPr>
        <w:noProof/>
        <w:lang w:val="da-DK" w:eastAsia="da-DK"/>
      </w:rPr>
      <w:drawing>
        <wp:inline distT="0" distB="0" distL="0" distR="0" wp14:anchorId="7D7DA018" wp14:editId="5773C150">
          <wp:extent cx="954000" cy="954000"/>
          <wp:effectExtent l="0" t="0" r="0" b="0"/>
          <wp:docPr id="8"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r>
      <w:rPr>
        <w:rFonts w:ascii="Akzidenz-Bd for Chalmers" w:hAnsi="Akzidenz-Bd for Chalmers"/>
        <w:b/>
        <w:lang w:val="en-GB"/>
      </w:rPr>
      <w:t xml:space="preserve"> </w:t>
    </w:r>
    <w:r w:rsidRPr="006E0E75">
      <w:rPr>
        <w:rFonts w:ascii="Trebuchet MS" w:hAnsi="Trebuchet MS" w:cstheme="majorHAnsi"/>
        <w:b/>
        <w:sz w:val="20"/>
        <w:szCs w:val="20"/>
        <w:lang w:val="en-GB"/>
      </w:rPr>
      <w:t>N5T Chair 2016</w:t>
    </w:r>
    <w:r>
      <w:rPr>
        <w:rFonts w:ascii="Trebuchet MS" w:hAnsi="Trebuchet MS" w:cstheme="majorHAnsi"/>
        <w:b/>
        <w:sz w:val="20"/>
        <w:szCs w:val="20"/>
        <w:lang w:val="en-GB"/>
      </w:rPr>
      <w:tab/>
    </w:r>
    <w:r>
      <w:rPr>
        <w:rFonts w:ascii="Trebuchet MS" w:hAnsi="Trebuchet MS" w:cstheme="majorHAnsi"/>
        <w:b/>
        <w:sz w:val="20"/>
        <w:szCs w:val="20"/>
        <w:lang w:val="en-GB"/>
      </w:rPr>
      <w:tab/>
    </w:r>
    <w:r w:rsidR="000E5402" w:rsidRPr="000E757B">
      <w:rPr>
        <w:rFonts w:ascii="Trebuchet MS" w:hAnsi="Trebuchet MS"/>
        <w:b/>
        <w:sz w:val="36"/>
        <w:szCs w:val="32"/>
        <w:lang w:val="en-GB"/>
      </w:rPr>
      <w:t>NORDIC FIVE TECH</w:t>
    </w:r>
    <w:r w:rsidR="000E5402" w:rsidRPr="000E757B">
      <w:rPr>
        <w:rFonts w:ascii="Trebuchet MS" w:hAnsi="Trebuchet MS"/>
        <w:b/>
        <w:sz w:val="32"/>
        <w:szCs w:val="32"/>
        <w:lang w:val="en-GB"/>
      </w:rPr>
      <w:tab/>
    </w:r>
    <w:r w:rsidR="000E5402" w:rsidRPr="000E757B">
      <w:rPr>
        <w:rFonts w:ascii="Trebuchet MS" w:hAnsi="Trebuchet MS"/>
        <w:b/>
        <w:sz w:val="32"/>
        <w:szCs w:val="32"/>
        <w:lang w:val="en-GB"/>
      </w:rPr>
      <w:tab/>
    </w:r>
  </w:p>
  <w:p w:rsidR="00BD5A6C" w:rsidRPr="000E757B" w:rsidRDefault="00BD5A6C" w:rsidP="000E5402">
    <w:pPr>
      <w:pStyle w:val="Header"/>
      <w:rPr>
        <w:rFonts w:ascii="Trebuchet MS" w:hAnsi="Trebuchet MS"/>
        <w:b/>
        <w:sz w:val="32"/>
        <w:szCs w:val="32"/>
        <w:lang w:val="en-GB"/>
      </w:rPr>
    </w:pPr>
  </w:p>
  <w:p w:rsidR="000E5402" w:rsidRDefault="000E5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663E"/>
    <w:multiLevelType w:val="hybridMultilevel"/>
    <w:tmpl w:val="62BE76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D511057"/>
    <w:multiLevelType w:val="multilevel"/>
    <w:tmpl w:val="1688B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D3C38"/>
    <w:multiLevelType w:val="multilevel"/>
    <w:tmpl w:val="1250FB92"/>
    <w:lvl w:ilvl="0">
      <w:start w:val="1"/>
      <w:numFmt w:val="decimal"/>
      <w:lvlText w:val="%1."/>
      <w:lvlJc w:val="left"/>
      <w:pPr>
        <w:ind w:left="360" w:hanging="360"/>
      </w:pPr>
      <w:rPr>
        <w:rFonts w:ascii="Calibri Light" w:hAnsi="Calibri Light" w:hint="default"/>
        <w:sz w:val="32"/>
      </w:rPr>
    </w:lvl>
    <w:lvl w:ilvl="1">
      <w:start w:val="1"/>
      <w:numFmt w:val="decimal"/>
      <w:lvlText w:val="%2."/>
      <w:lvlJc w:val="left"/>
      <w:pPr>
        <w:ind w:left="390" w:hanging="390"/>
      </w:pPr>
      <w:rPr>
        <w:rFonts w:ascii="Calibri Light" w:hAnsi="Calibri Light" w:hint="default"/>
        <w:sz w:val="3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2851E26"/>
    <w:multiLevelType w:val="hybridMultilevel"/>
    <w:tmpl w:val="957C3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AC7E5E"/>
    <w:multiLevelType w:val="multilevel"/>
    <w:tmpl w:val="6EE478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E10E5"/>
    <w:multiLevelType w:val="multilevel"/>
    <w:tmpl w:val="96A2492A"/>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A839CB"/>
    <w:multiLevelType w:val="multilevel"/>
    <w:tmpl w:val="E11A2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936D45"/>
    <w:multiLevelType w:val="multilevel"/>
    <w:tmpl w:val="6B76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D3EC4"/>
    <w:multiLevelType w:val="multilevel"/>
    <w:tmpl w:val="380EE23E"/>
    <w:lvl w:ilvl="0">
      <w:start w:val="2"/>
      <w:numFmt w:val="decimal"/>
      <w:lvlText w:val="%1."/>
      <w:lvlJc w:val="left"/>
      <w:pPr>
        <w:ind w:left="384" w:hanging="384"/>
      </w:pPr>
      <w:rPr>
        <w:rFonts w:asciiTheme="majorHAnsi" w:hAnsiTheme="majorHAnsi" w:hint="default"/>
      </w:rPr>
    </w:lvl>
    <w:lvl w:ilvl="1">
      <w:start w:val="1"/>
      <w:numFmt w:val="decimal"/>
      <w:lvlText w:val="%1.%2."/>
      <w:lvlJc w:val="left"/>
      <w:pPr>
        <w:ind w:left="720" w:hanging="72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1080" w:hanging="1080"/>
      </w:pPr>
      <w:rPr>
        <w:rFonts w:asciiTheme="majorHAnsi" w:hAnsiTheme="majorHAnsi" w:hint="default"/>
      </w:rPr>
    </w:lvl>
    <w:lvl w:ilvl="4">
      <w:start w:val="1"/>
      <w:numFmt w:val="decimal"/>
      <w:lvlText w:val="%1.%2.%3.%4.%5."/>
      <w:lvlJc w:val="left"/>
      <w:pPr>
        <w:ind w:left="1440" w:hanging="1440"/>
      </w:pPr>
      <w:rPr>
        <w:rFonts w:asciiTheme="majorHAnsi" w:hAnsiTheme="majorHAnsi" w:hint="default"/>
      </w:rPr>
    </w:lvl>
    <w:lvl w:ilvl="5">
      <w:start w:val="1"/>
      <w:numFmt w:val="decimal"/>
      <w:lvlText w:val="%1.%2.%3.%4.%5.%6."/>
      <w:lvlJc w:val="left"/>
      <w:pPr>
        <w:ind w:left="1440" w:hanging="1440"/>
      </w:pPr>
      <w:rPr>
        <w:rFonts w:asciiTheme="majorHAnsi" w:hAnsiTheme="majorHAnsi" w:hint="default"/>
      </w:rPr>
    </w:lvl>
    <w:lvl w:ilvl="6">
      <w:start w:val="1"/>
      <w:numFmt w:val="decimal"/>
      <w:lvlText w:val="%1.%2.%3.%4.%5.%6.%7."/>
      <w:lvlJc w:val="left"/>
      <w:pPr>
        <w:ind w:left="1800" w:hanging="1800"/>
      </w:pPr>
      <w:rPr>
        <w:rFonts w:asciiTheme="majorHAnsi" w:hAnsiTheme="majorHAnsi" w:hint="default"/>
      </w:rPr>
    </w:lvl>
    <w:lvl w:ilvl="7">
      <w:start w:val="1"/>
      <w:numFmt w:val="decimal"/>
      <w:lvlText w:val="%1.%2.%3.%4.%5.%6.%7.%8."/>
      <w:lvlJc w:val="left"/>
      <w:pPr>
        <w:ind w:left="2160" w:hanging="2160"/>
      </w:pPr>
      <w:rPr>
        <w:rFonts w:asciiTheme="majorHAnsi" w:hAnsiTheme="majorHAnsi" w:hint="default"/>
      </w:rPr>
    </w:lvl>
    <w:lvl w:ilvl="8">
      <w:start w:val="1"/>
      <w:numFmt w:val="decimal"/>
      <w:lvlText w:val="%1.%2.%3.%4.%5.%6.%7.%8.%9."/>
      <w:lvlJc w:val="left"/>
      <w:pPr>
        <w:ind w:left="2160" w:hanging="2160"/>
      </w:pPr>
      <w:rPr>
        <w:rFonts w:asciiTheme="majorHAnsi" w:hAnsiTheme="majorHAnsi" w:hint="default"/>
      </w:rPr>
    </w:lvl>
  </w:abstractNum>
  <w:abstractNum w:abstractNumId="9" w15:restartNumberingAfterBreak="0">
    <w:nsid w:val="57C97EE9"/>
    <w:multiLevelType w:val="hybridMultilevel"/>
    <w:tmpl w:val="0C824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DEA25BB"/>
    <w:multiLevelType w:val="hybridMultilevel"/>
    <w:tmpl w:val="6ED2D66E"/>
    <w:lvl w:ilvl="0" w:tplc="E14A7882">
      <w:start w:val="1"/>
      <w:numFmt w:val="bullet"/>
      <w:lvlText w:val="•"/>
      <w:lvlJc w:val="left"/>
      <w:pPr>
        <w:tabs>
          <w:tab w:val="num" w:pos="720"/>
        </w:tabs>
        <w:ind w:left="720" w:hanging="360"/>
      </w:pPr>
      <w:rPr>
        <w:rFonts w:ascii="Times New Roman" w:hAnsi="Times New Roman" w:hint="default"/>
      </w:rPr>
    </w:lvl>
    <w:lvl w:ilvl="1" w:tplc="84EA6A70" w:tentative="1">
      <w:start w:val="1"/>
      <w:numFmt w:val="bullet"/>
      <w:lvlText w:val="•"/>
      <w:lvlJc w:val="left"/>
      <w:pPr>
        <w:tabs>
          <w:tab w:val="num" w:pos="1440"/>
        </w:tabs>
        <w:ind w:left="1440" w:hanging="360"/>
      </w:pPr>
      <w:rPr>
        <w:rFonts w:ascii="Times New Roman" w:hAnsi="Times New Roman" w:hint="default"/>
      </w:rPr>
    </w:lvl>
    <w:lvl w:ilvl="2" w:tplc="C47089F6" w:tentative="1">
      <w:start w:val="1"/>
      <w:numFmt w:val="bullet"/>
      <w:lvlText w:val="•"/>
      <w:lvlJc w:val="left"/>
      <w:pPr>
        <w:tabs>
          <w:tab w:val="num" w:pos="2160"/>
        </w:tabs>
        <w:ind w:left="2160" w:hanging="360"/>
      </w:pPr>
      <w:rPr>
        <w:rFonts w:ascii="Times New Roman" w:hAnsi="Times New Roman" w:hint="default"/>
      </w:rPr>
    </w:lvl>
    <w:lvl w:ilvl="3" w:tplc="4C2E151A" w:tentative="1">
      <w:start w:val="1"/>
      <w:numFmt w:val="bullet"/>
      <w:lvlText w:val="•"/>
      <w:lvlJc w:val="left"/>
      <w:pPr>
        <w:tabs>
          <w:tab w:val="num" w:pos="2880"/>
        </w:tabs>
        <w:ind w:left="2880" w:hanging="360"/>
      </w:pPr>
      <w:rPr>
        <w:rFonts w:ascii="Times New Roman" w:hAnsi="Times New Roman" w:hint="default"/>
      </w:rPr>
    </w:lvl>
    <w:lvl w:ilvl="4" w:tplc="F800DD02" w:tentative="1">
      <w:start w:val="1"/>
      <w:numFmt w:val="bullet"/>
      <w:lvlText w:val="•"/>
      <w:lvlJc w:val="left"/>
      <w:pPr>
        <w:tabs>
          <w:tab w:val="num" w:pos="3600"/>
        </w:tabs>
        <w:ind w:left="3600" w:hanging="360"/>
      </w:pPr>
      <w:rPr>
        <w:rFonts w:ascii="Times New Roman" w:hAnsi="Times New Roman" w:hint="default"/>
      </w:rPr>
    </w:lvl>
    <w:lvl w:ilvl="5" w:tplc="3160A320" w:tentative="1">
      <w:start w:val="1"/>
      <w:numFmt w:val="bullet"/>
      <w:lvlText w:val="•"/>
      <w:lvlJc w:val="left"/>
      <w:pPr>
        <w:tabs>
          <w:tab w:val="num" w:pos="4320"/>
        </w:tabs>
        <w:ind w:left="4320" w:hanging="360"/>
      </w:pPr>
      <w:rPr>
        <w:rFonts w:ascii="Times New Roman" w:hAnsi="Times New Roman" w:hint="default"/>
      </w:rPr>
    </w:lvl>
    <w:lvl w:ilvl="6" w:tplc="98A6A1FE" w:tentative="1">
      <w:start w:val="1"/>
      <w:numFmt w:val="bullet"/>
      <w:lvlText w:val="•"/>
      <w:lvlJc w:val="left"/>
      <w:pPr>
        <w:tabs>
          <w:tab w:val="num" w:pos="5040"/>
        </w:tabs>
        <w:ind w:left="5040" w:hanging="360"/>
      </w:pPr>
      <w:rPr>
        <w:rFonts w:ascii="Times New Roman" w:hAnsi="Times New Roman" w:hint="default"/>
      </w:rPr>
    </w:lvl>
    <w:lvl w:ilvl="7" w:tplc="3D1E3A14" w:tentative="1">
      <w:start w:val="1"/>
      <w:numFmt w:val="bullet"/>
      <w:lvlText w:val="•"/>
      <w:lvlJc w:val="left"/>
      <w:pPr>
        <w:tabs>
          <w:tab w:val="num" w:pos="5760"/>
        </w:tabs>
        <w:ind w:left="5760" w:hanging="360"/>
      </w:pPr>
      <w:rPr>
        <w:rFonts w:ascii="Times New Roman" w:hAnsi="Times New Roman" w:hint="default"/>
      </w:rPr>
    </w:lvl>
    <w:lvl w:ilvl="8" w:tplc="7F7A02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212531"/>
    <w:multiLevelType w:val="hybridMultilevel"/>
    <w:tmpl w:val="3C5AC75E"/>
    <w:lvl w:ilvl="0" w:tplc="2CDC3DC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4862C24"/>
    <w:multiLevelType w:val="multilevel"/>
    <w:tmpl w:val="2BB4010C"/>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5C6213"/>
    <w:multiLevelType w:val="hybridMultilevel"/>
    <w:tmpl w:val="074064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E132B58"/>
    <w:multiLevelType w:val="hybridMultilevel"/>
    <w:tmpl w:val="47B8C8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761F5916"/>
    <w:multiLevelType w:val="hybridMultilevel"/>
    <w:tmpl w:val="B3345B1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6" w15:restartNumberingAfterBreak="0">
    <w:nsid w:val="7B9B38DC"/>
    <w:multiLevelType w:val="hybridMultilevel"/>
    <w:tmpl w:val="31F28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7"/>
  </w:num>
  <w:num w:numId="4">
    <w:abstractNumId w:val="3"/>
  </w:num>
  <w:num w:numId="5">
    <w:abstractNumId w:val="5"/>
  </w:num>
  <w:num w:numId="6">
    <w:abstractNumId w:val="4"/>
  </w:num>
  <w:num w:numId="7">
    <w:abstractNumId w:val="9"/>
  </w:num>
  <w:num w:numId="8">
    <w:abstractNumId w:val="6"/>
  </w:num>
  <w:num w:numId="9">
    <w:abstractNumId w:val="13"/>
  </w:num>
  <w:num w:numId="10">
    <w:abstractNumId w:val="10"/>
  </w:num>
  <w:num w:numId="11">
    <w:abstractNumId w:val="15"/>
  </w:num>
  <w:num w:numId="12">
    <w:abstractNumId w:val="14"/>
  </w:num>
  <w:num w:numId="13">
    <w:abstractNumId w:val="0"/>
  </w:num>
  <w:num w:numId="14">
    <w:abstractNumId w:val="1"/>
  </w:num>
  <w:num w:numId="15">
    <w:abstractNumId w:val="12"/>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02"/>
    <w:rsid w:val="000015AE"/>
    <w:rsid w:val="00002F9B"/>
    <w:rsid w:val="000061EC"/>
    <w:rsid w:val="000217BA"/>
    <w:rsid w:val="00036748"/>
    <w:rsid w:val="000763F9"/>
    <w:rsid w:val="000A2EA9"/>
    <w:rsid w:val="000A45C5"/>
    <w:rsid w:val="000C7A9D"/>
    <w:rsid w:val="000E5402"/>
    <w:rsid w:val="00104749"/>
    <w:rsid w:val="00117DD5"/>
    <w:rsid w:val="00125D11"/>
    <w:rsid w:val="00134AF9"/>
    <w:rsid w:val="001648E0"/>
    <w:rsid w:val="0017463B"/>
    <w:rsid w:val="001855EC"/>
    <w:rsid w:val="001930F6"/>
    <w:rsid w:val="001A4856"/>
    <w:rsid w:val="001B377D"/>
    <w:rsid w:val="001F09DB"/>
    <w:rsid w:val="001F7E0A"/>
    <w:rsid w:val="00200372"/>
    <w:rsid w:val="002167D4"/>
    <w:rsid w:val="002178C4"/>
    <w:rsid w:val="00227606"/>
    <w:rsid w:val="002304AB"/>
    <w:rsid w:val="00255DE4"/>
    <w:rsid w:val="002730DC"/>
    <w:rsid w:val="00274F16"/>
    <w:rsid w:val="002C2E51"/>
    <w:rsid w:val="002C63A8"/>
    <w:rsid w:val="002E4D95"/>
    <w:rsid w:val="00303FC7"/>
    <w:rsid w:val="00307624"/>
    <w:rsid w:val="00324AC3"/>
    <w:rsid w:val="0032510B"/>
    <w:rsid w:val="00332CDD"/>
    <w:rsid w:val="003377E5"/>
    <w:rsid w:val="00365640"/>
    <w:rsid w:val="00373D93"/>
    <w:rsid w:val="003915AA"/>
    <w:rsid w:val="003A1EAE"/>
    <w:rsid w:val="003A3C0C"/>
    <w:rsid w:val="003A7EA7"/>
    <w:rsid w:val="003E1C21"/>
    <w:rsid w:val="003F0942"/>
    <w:rsid w:val="003F4848"/>
    <w:rsid w:val="00402B55"/>
    <w:rsid w:val="00417989"/>
    <w:rsid w:val="00426C5B"/>
    <w:rsid w:val="00462A75"/>
    <w:rsid w:val="00463456"/>
    <w:rsid w:val="00465F3E"/>
    <w:rsid w:val="0047721C"/>
    <w:rsid w:val="00477F37"/>
    <w:rsid w:val="00486712"/>
    <w:rsid w:val="004964F4"/>
    <w:rsid w:val="004973FE"/>
    <w:rsid w:val="004D0B3D"/>
    <w:rsid w:val="004D2118"/>
    <w:rsid w:val="004E300D"/>
    <w:rsid w:val="004F0954"/>
    <w:rsid w:val="0052331E"/>
    <w:rsid w:val="00531628"/>
    <w:rsid w:val="00542B36"/>
    <w:rsid w:val="00551FF9"/>
    <w:rsid w:val="00564FF7"/>
    <w:rsid w:val="005746CF"/>
    <w:rsid w:val="0058602B"/>
    <w:rsid w:val="00587D5D"/>
    <w:rsid w:val="005B02D2"/>
    <w:rsid w:val="005B7B2B"/>
    <w:rsid w:val="005C406E"/>
    <w:rsid w:val="005C79EB"/>
    <w:rsid w:val="005D3832"/>
    <w:rsid w:val="00607380"/>
    <w:rsid w:val="00614505"/>
    <w:rsid w:val="006231BC"/>
    <w:rsid w:val="0064002C"/>
    <w:rsid w:val="00641C92"/>
    <w:rsid w:val="006628BA"/>
    <w:rsid w:val="00666601"/>
    <w:rsid w:val="00687D81"/>
    <w:rsid w:val="006A07AF"/>
    <w:rsid w:val="006A460D"/>
    <w:rsid w:val="006A4770"/>
    <w:rsid w:val="006A5224"/>
    <w:rsid w:val="006B419B"/>
    <w:rsid w:val="006B73CD"/>
    <w:rsid w:val="006C45F6"/>
    <w:rsid w:val="006D63A4"/>
    <w:rsid w:val="006E1EC2"/>
    <w:rsid w:val="006F6204"/>
    <w:rsid w:val="00760447"/>
    <w:rsid w:val="00767B23"/>
    <w:rsid w:val="00774E46"/>
    <w:rsid w:val="007754CE"/>
    <w:rsid w:val="00776195"/>
    <w:rsid w:val="0077699B"/>
    <w:rsid w:val="007837C0"/>
    <w:rsid w:val="007928A3"/>
    <w:rsid w:val="0079680F"/>
    <w:rsid w:val="007B27D8"/>
    <w:rsid w:val="007D0D8D"/>
    <w:rsid w:val="007D730E"/>
    <w:rsid w:val="007F3814"/>
    <w:rsid w:val="007F6020"/>
    <w:rsid w:val="008372ED"/>
    <w:rsid w:val="008504BD"/>
    <w:rsid w:val="0085210E"/>
    <w:rsid w:val="00861ABF"/>
    <w:rsid w:val="0088409A"/>
    <w:rsid w:val="00893FCC"/>
    <w:rsid w:val="008B4563"/>
    <w:rsid w:val="008C7CB0"/>
    <w:rsid w:val="008E4647"/>
    <w:rsid w:val="008E6928"/>
    <w:rsid w:val="00910700"/>
    <w:rsid w:val="009167AD"/>
    <w:rsid w:val="00922714"/>
    <w:rsid w:val="00922F57"/>
    <w:rsid w:val="0093418D"/>
    <w:rsid w:val="00992F81"/>
    <w:rsid w:val="009A4F00"/>
    <w:rsid w:val="009E0477"/>
    <w:rsid w:val="009F3050"/>
    <w:rsid w:val="00A04F73"/>
    <w:rsid w:val="00A21BC9"/>
    <w:rsid w:val="00A73E7F"/>
    <w:rsid w:val="00AA1C8C"/>
    <w:rsid w:val="00AC68C3"/>
    <w:rsid w:val="00AD1ADB"/>
    <w:rsid w:val="00AD2706"/>
    <w:rsid w:val="00AE2EB1"/>
    <w:rsid w:val="00AE4A4F"/>
    <w:rsid w:val="00AE4D02"/>
    <w:rsid w:val="00AE6E7C"/>
    <w:rsid w:val="00B23552"/>
    <w:rsid w:val="00B26A8B"/>
    <w:rsid w:val="00B473E7"/>
    <w:rsid w:val="00B63D83"/>
    <w:rsid w:val="00B86EF6"/>
    <w:rsid w:val="00B97827"/>
    <w:rsid w:val="00BA27C5"/>
    <w:rsid w:val="00BC37D2"/>
    <w:rsid w:val="00BC544F"/>
    <w:rsid w:val="00BD5A6C"/>
    <w:rsid w:val="00BE09B3"/>
    <w:rsid w:val="00BF6D7A"/>
    <w:rsid w:val="00BF7FC0"/>
    <w:rsid w:val="00C524FD"/>
    <w:rsid w:val="00C81D93"/>
    <w:rsid w:val="00CA010E"/>
    <w:rsid w:val="00CA042B"/>
    <w:rsid w:val="00CA6966"/>
    <w:rsid w:val="00D3613B"/>
    <w:rsid w:val="00D37207"/>
    <w:rsid w:val="00D37B21"/>
    <w:rsid w:val="00D60155"/>
    <w:rsid w:val="00D91C1A"/>
    <w:rsid w:val="00DC4B29"/>
    <w:rsid w:val="00DC4B7F"/>
    <w:rsid w:val="00DE1587"/>
    <w:rsid w:val="00E076C5"/>
    <w:rsid w:val="00E20E32"/>
    <w:rsid w:val="00E57FED"/>
    <w:rsid w:val="00E72A09"/>
    <w:rsid w:val="00E82695"/>
    <w:rsid w:val="00E85442"/>
    <w:rsid w:val="00EB4A05"/>
    <w:rsid w:val="00F00B03"/>
    <w:rsid w:val="00F04EAB"/>
    <w:rsid w:val="00F1522D"/>
    <w:rsid w:val="00F35E1D"/>
    <w:rsid w:val="00F60ABE"/>
    <w:rsid w:val="00F95EF2"/>
    <w:rsid w:val="00FE0D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5B8CF"/>
  <w15:docId w15:val="{4766AEFA-3ECB-4A15-8A4D-CCB1C196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5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5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4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5402"/>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0E5402"/>
    <w:rPr>
      <w:rFonts w:ascii="Calibri" w:eastAsia="Calibri" w:hAnsi="Calibri" w:cs="Consolas"/>
      <w:szCs w:val="21"/>
    </w:rPr>
  </w:style>
  <w:style w:type="character" w:customStyle="1" w:styleId="Heading1Char">
    <w:name w:val="Heading 1 Char"/>
    <w:basedOn w:val="DefaultParagraphFont"/>
    <w:link w:val="Heading1"/>
    <w:uiPriority w:val="9"/>
    <w:rsid w:val="000E54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54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54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E5402"/>
    <w:pPr>
      <w:ind w:left="720"/>
      <w:contextualSpacing/>
    </w:pPr>
  </w:style>
  <w:style w:type="paragraph" w:styleId="Header">
    <w:name w:val="header"/>
    <w:basedOn w:val="Normal"/>
    <w:link w:val="HeaderChar"/>
    <w:unhideWhenUsed/>
    <w:rsid w:val="000E5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402"/>
  </w:style>
  <w:style w:type="paragraph" w:styleId="Footer">
    <w:name w:val="footer"/>
    <w:basedOn w:val="Normal"/>
    <w:link w:val="FooterChar"/>
    <w:uiPriority w:val="99"/>
    <w:unhideWhenUsed/>
    <w:rsid w:val="000E5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402"/>
  </w:style>
  <w:style w:type="paragraph" w:styleId="BalloonText">
    <w:name w:val="Balloon Text"/>
    <w:basedOn w:val="Normal"/>
    <w:link w:val="BalloonTextChar"/>
    <w:uiPriority w:val="99"/>
    <w:semiHidden/>
    <w:unhideWhenUsed/>
    <w:rsid w:val="000E5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02"/>
    <w:rPr>
      <w:rFonts w:ascii="Segoe UI" w:hAnsi="Segoe UI" w:cs="Segoe UI"/>
      <w:sz w:val="18"/>
      <w:szCs w:val="18"/>
    </w:rPr>
  </w:style>
  <w:style w:type="paragraph" w:styleId="NoSpacing">
    <w:name w:val="No Spacing"/>
    <w:uiPriority w:val="1"/>
    <w:qFormat/>
    <w:rsid w:val="00CA010E"/>
    <w:pPr>
      <w:spacing w:after="0" w:line="240" w:lineRule="auto"/>
    </w:pPr>
  </w:style>
  <w:style w:type="paragraph" w:customStyle="1" w:styleId="Default">
    <w:name w:val="Default"/>
    <w:rsid w:val="006E1EC2"/>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BE09B3"/>
    <w:rPr>
      <w:sz w:val="16"/>
      <w:szCs w:val="16"/>
    </w:rPr>
  </w:style>
  <w:style w:type="paragraph" w:styleId="CommentText">
    <w:name w:val="annotation text"/>
    <w:basedOn w:val="Normal"/>
    <w:link w:val="CommentTextChar"/>
    <w:uiPriority w:val="99"/>
    <w:semiHidden/>
    <w:unhideWhenUsed/>
    <w:rsid w:val="00BE09B3"/>
    <w:pPr>
      <w:spacing w:line="240" w:lineRule="auto"/>
    </w:pPr>
    <w:rPr>
      <w:sz w:val="20"/>
      <w:szCs w:val="20"/>
    </w:rPr>
  </w:style>
  <w:style w:type="character" w:customStyle="1" w:styleId="CommentTextChar">
    <w:name w:val="Comment Text Char"/>
    <w:basedOn w:val="DefaultParagraphFont"/>
    <w:link w:val="CommentText"/>
    <w:uiPriority w:val="99"/>
    <w:semiHidden/>
    <w:rsid w:val="00BE09B3"/>
    <w:rPr>
      <w:sz w:val="20"/>
      <w:szCs w:val="20"/>
    </w:rPr>
  </w:style>
  <w:style w:type="character" w:styleId="Hyperlink">
    <w:name w:val="Hyperlink"/>
    <w:basedOn w:val="DefaultParagraphFont"/>
    <w:uiPriority w:val="99"/>
    <w:unhideWhenUsed/>
    <w:rsid w:val="00F60ABE"/>
    <w:rPr>
      <w:color w:val="0000FF"/>
      <w:u w:val="single"/>
    </w:rPr>
  </w:style>
  <w:style w:type="character" w:customStyle="1" w:styleId="apple-converted-space">
    <w:name w:val="apple-converted-space"/>
    <w:basedOn w:val="DefaultParagraphFont"/>
    <w:rsid w:val="00F60ABE"/>
  </w:style>
  <w:style w:type="paragraph" w:styleId="FootnoteText">
    <w:name w:val="footnote text"/>
    <w:basedOn w:val="Normal"/>
    <w:link w:val="FootnoteTextChar"/>
    <w:uiPriority w:val="99"/>
    <w:semiHidden/>
    <w:unhideWhenUsed/>
    <w:rsid w:val="00417989"/>
    <w:pPr>
      <w:spacing w:after="0" w:line="240" w:lineRule="auto"/>
    </w:pPr>
    <w:rPr>
      <w:rFonts w:eastAsiaTheme="minorEastAsia"/>
      <w:sz w:val="24"/>
      <w:szCs w:val="24"/>
      <w:lang w:val="sv-SE"/>
    </w:rPr>
  </w:style>
  <w:style w:type="character" w:customStyle="1" w:styleId="FootnoteTextChar">
    <w:name w:val="Footnote Text Char"/>
    <w:basedOn w:val="DefaultParagraphFont"/>
    <w:link w:val="FootnoteText"/>
    <w:uiPriority w:val="99"/>
    <w:semiHidden/>
    <w:rsid w:val="00417989"/>
    <w:rPr>
      <w:rFonts w:eastAsiaTheme="minorEastAsia"/>
      <w:sz w:val="24"/>
      <w:szCs w:val="24"/>
      <w:lang w:val="sv-SE"/>
    </w:rPr>
  </w:style>
  <w:style w:type="character" w:styleId="FootnoteReference">
    <w:name w:val="footnote reference"/>
    <w:basedOn w:val="DefaultParagraphFont"/>
    <w:uiPriority w:val="99"/>
    <w:semiHidden/>
    <w:unhideWhenUsed/>
    <w:rsid w:val="00417989"/>
    <w:rPr>
      <w:vertAlign w:val="superscript"/>
    </w:rPr>
  </w:style>
  <w:style w:type="paragraph" w:styleId="CommentSubject">
    <w:name w:val="annotation subject"/>
    <w:basedOn w:val="CommentText"/>
    <w:next w:val="CommentText"/>
    <w:link w:val="CommentSubjectChar"/>
    <w:uiPriority w:val="99"/>
    <w:semiHidden/>
    <w:unhideWhenUsed/>
    <w:rsid w:val="00F1522D"/>
    <w:rPr>
      <w:b/>
      <w:bCs/>
    </w:rPr>
  </w:style>
  <w:style w:type="character" w:customStyle="1" w:styleId="CommentSubjectChar">
    <w:name w:val="Comment Subject Char"/>
    <w:basedOn w:val="CommentTextChar"/>
    <w:link w:val="CommentSubject"/>
    <w:uiPriority w:val="99"/>
    <w:semiHidden/>
    <w:rsid w:val="00F15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7595">
      <w:bodyDiv w:val="1"/>
      <w:marLeft w:val="0"/>
      <w:marRight w:val="0"/>
      <w:marTop w:val="0"/>
      <w:marBottom w:val="0"/>
      <w:divBdr>
        <w:top w:val="none" w:sz="0" w:space="0" w:color="auto"/>
        <w:left w:val="none" w:sz="0" w:space="0" w:color="auto"/>
        <w:bottom w:val="none" w:sz="0" w:space="0" w:color="auto"/>
        <w:right w:val="none" w:sz="0" w:space="0" w:color="auto"/>
      </w:divBdr>
    </w:div>
    <w:div w:id="227037990">
      <w:bodyDiv w:val="1"/>
      <w:marLeft w:val="0"/>
      <w:marRight w:val="0"/>
      <w:marTop w:val="0"/>
      <w:marBottom w:val="0"/>
      <w:divBdr>
        <w:top w:val="none" w:sz="0" w:space="0" w:color="auto"/>
        <w:left w:val="none" w:sz="0" w:space="0" w:color="auto"/>
        <w:bottom w:val="none" w:sz="0" w:space="0" w:color="auto"/>
        <w:right w:val="none" w:sz="0" w:space="0" w:color="auto"/>
      </w:divBdr>
    </w:div>
    <w:div w:id="493835246">
      <w:bodyDiv w:val="1"/>
      <w:marLeft w:val="0"/>
      <w:marRight w:val="0"/>
      <w:marTop w:val="0"/>
      <w:marBottom w:val="0"/>
      <w:divBdr>
        <w:top w:val="none" w:sz="0" w:space="0" w:color="auto"/>
        <w:left w:val="none" w:sz="0" w:space="0" w:color="auto"/>
        <w:bottom w:val="none" w:sz="0" w:space="0" w:color="auto"/>
        <w:right w:val="none" w:sz="0" w:space="0" w:color="auto"/>
      </w:divBdr>
    </w:div>
    <w:div w:id="513959714">
      <w:bodyDiv w:val="1"/>
      <w:marLeft w:val="0"/>
      <w:marRight w:val="0"/>
      <w:marTop w:val="0"/>
      <w:marBottom w:val="0"/>
      <w:divBdr>
        <w:top w:val="none" w:sz="0" w:space="0" w:color="auto"/>
        <w:left w:val="none" w:sz="0" w:space="0" w:color="auto"/>
        <w:bottom w:val="none" w:sz="0" w:space="0" w:color="auto"/>
        <w:right w:val="none" w:sz="0" w:space="0" w:color="auto"/>
      </w:divBdr>
    </w:div>
    <w:div w:id="539587299">
      <w:bodyDiv w:val="1"/>
      <w:marLeft w:val="0"/>
      <w:marRight w:val="0"/>
      <w:marTop w:val="0"/>
      <w:marBottom w:val="0"/>
      <w:divBdr>
        <w:top w:val="none" w:sz="0" w:space="0" w:color="auto"/>
        <w:left w:val="none" w:sz="0" w:space="0" w:color="auto"/>
        <w:bottom w:val="none" w:sz="0" w:space="0" w:color="auto"/>
        <w:right w:val="none" w:sz="0" w:space="0" w:color="auto"/>
      </w:divBdr>
    </w:div>
    <w:div w:id="594018682">
      <w:bodyDiv w:val="1"/>
      <w:marLeft w:val="0"/>
      <w:marRight w:val="0"/>
      <w:marTop w:val="0"/>
      <w:marBottom w:val="0"/>
      <w:divBdr>
        <w:top w:val="none" w:sz="0" w:space="0" w:color="auto"/>
        <w:left w:val="none" w:sz="0" w:space="0" w:color="auto"/>
        <w:bottom w:val="none" w:sz="0" w:space="0" w:color="auto"/>
        <w:right w:val="none" w:sz="0" w:space="0" w:color="auto"/>
      </w:divBdr>
    </w:div>
    <w:div w:id="700663598">
      <w:bodyDiv w:val="1"/>
      <w:marLeft w:val="0"/>
      <w:marRight w:val="0"/>
      <w:marTop w:val="0"/>
      <w:marBottom w:val="0"/>
      <w:divBdr>
        <w:top w:val="none" w:sz="0" w:space="0" w:color="auto"/>
        <w:left w:val="none" w:sz="0" w:space="0" w:color="auto"/>
        <w:bottom w:val="none" w:sz="0" w:space="0" w:color="auto"/>
        <w:right w:val="none" w:sz="0" w:space="0" w:color="auto"/>
      </w:divBdr>
    </w:div>
    <w:div w:id="854615599">
      <w:bodyDiv w:val="1"/>
      <w:marLeft w:val="0"/>
      <w:marRight w:val="0"/>
      <w:marTop w:val="0"/>
      <w:marBottom w:val="0"/>
      <w:divBdr>
        <w:top w:val="none" w:sz="0" w:space="0" w:color="auto"/>
        <w:left w:val="none" w:sz="0" w:space="0" w:color="auto"/>
        <w:bottom w:val="none" w:sz="0" w:space="0" w:color="auto"/>
        <w:right w:val="none" w:sz="0" w:space="0" w:color="auto"/>
      </w:divBdr>
    </w:div>
    <w:div w:id="1045985804">
      <w:bodyDiv w:val="1"/>
      <w:marLeft w:val="0"/>
      <w:marRight w:val="0"/>
      <w:marTop w:val="0"/>
      <w:marBottom w:val="0"/>
      <w:divBdr>
        <w:top w:val="none" w:sz="0" w:space="0" w:color="auto"/>
        <w:left w:val="none" w:sz="0" w:space="0" w:color="auto"/>
        <w:bottom w:val="none" w:sz="0" w:space="0" w:color="auto"/>
        <w:right w:val="none" w:sz="0" w:space="0" w:color="auto"/>
      </w:divBdr>
    </w:div>
    <w:div w:id="1407193001">
      <w:bodyDiv w:val="1"/>
      <w:marLeft w:val="0"/>
      <w:marRight w:val="0"/>
      <w:marTop w:val="0"/>
      <w:marBottom w:val="0"/>
      <w:divBdr>
        <w:top w:val="none" w:sz="0" w:space="0" w:color="auto"/>
        <w:left w:val="none" w:sz="0" w:space="0" w:color="auto"/>
        <w:bottom w:val="none" w:sz="0" w:space="0" w:color="auto"/>
        <w:right w:val="none" w:sz="0" w:space="0" w:color="auto"/>
      </w:divBdr>
    </w:div>
    <w:div w:id="1408964366">
      <w:bodyDiv w:val="1"/>
      <w:marLeft w:val="0"/>
      <w:marRight w:val="0"/>
      <w:marTop w:val="0"/>
      <w:marBottom w:val="0"/>
      <w:divBdr>
        <w:top w:val="none" w:sz="0" w:space="0" w:color="auto"/>
        <w:left w:val="none" w:sz="0" w:space="0" w:color="auto"/>
        <w:bottom w:val="none" w:sz="0" w:space="0" w:color="auto"/>
        <w:right w:val="none" w:sz="0" w:space="0" w:color="auto"/>
      </w:divBdr>
    </w:div>
    <w:div w:id="1648390945">
      <w:bodyDiv w:val="1"/>
      <w:marLeft w:val="0"/>
      <w:marRight w:val="0"/>
      <w:marTop w:val="0"/>
      <w:marBottom w:val="0"/>
      <w:divBdr>
        <w:top w:val="none" w:sz="0" w:space="0" w:color="auto"/>
        <w:left w:val="none" w:sz="0" w:space="0" w:color="auto"/>
        <w:bottom w:val="none" w:sz="0" w:space="0" w:color="auto"/>
        <w:right w:val="none" w:sz="0" w:space="0" w:color="auto"/>
      </w:divBdr>
      <w:divsChild>
        <w:div w:id="1062363751">
          <w:marLeft w:val="547"/>
          <w:marRight w:val="0"/>
          <w:marTop w:val="86"/>
          <w:marBottom w:val="0"/>
          <w:divBdr>
            <w:top w:val="none" w:sz="0" w:space="0" w:color="auto"/>
            <w:left w:val="none" w:sz="0" w:space="0" w:color="auto"/>
            <w:bottom w:val="none" w:sz="0" w:space="0" w:color="auto"/>
            <w:right w:val="none" w:sz="0" w:space="0" w:color="auto"/>
          </w:divBdr>
        </w:div>
        <w:div w:id="1599174171">
          <w:marLeft w:val="547"/>
          <w:marRight w:val="0"/>
          <w:marTop w:val="86"/>
          <w:marBottom w:val="0"/>
          <w:divBdr>
            <w:top w:val="none" w:sz="0" w:space="0" w:color="auto"/>
            <w:left w:val="none" w:sz="0" w:space="0" w:color="auto"/>
            <w:bottom w:val="none" w:sz="0" w:space="0" w:color="auto"/>
            <w:right w:val="none" w:sz="0" w:space="0" w:color="auto"/>
          </w:divBdr>
        </w:div>
        <w:div w:id="984434971">
          <w:marLeft w:val="547"/>
          <w:marRight w:val="0"/>
          <w:marTop w:val="86"/>
          <w:marBottom w:val="0"/>
          <w:divBdr>
            <w:top w:val="none" w:sz="0" w:space="0" w:color="auto"/>
            <w:left w:val="none" w:sz="0" w:space="0" w:color="auto"/>
            <w:bottom w:val="none" w:sz="0" w:space="0" w:color="auto"/>
            <w:right w:val="none" w:sz="0" w:space="0" w:color="auto"/>
          </w:divBdr>
        </w:div>
        <w:div w:id="1619797753">
          <w:marLeft w:val="547"/>
          <w:marRight w:val="0"/>
          <w:marTop w:val="86"/>
          <w:marBottom w:val="0"/>
          <w:divBdr>
            <w:top w:val="none" w:sz="0" w:space="0" w:color="auto"/>
            <w:left w:val="none" w:sz="0" w:space="0" w:color="auto"/>
            <w:bottom w:val="none" w:sz="0" w:space="0" w:color="auto"/>
            <w:right w:val="none" w:sz="0" w:space="0" w:color="auto"/>
          </w:divBdr>
        </w:div>
        <w:div w:id="626157526">
          <w:marLeft w:val="547"/>
          <w:marRight w:val="0"/>
          <w:marTop w:val="86"/>
          <w:marBottom w:val="0"/>
          <w:divBdr>
            <w:top w:val="none" w:sz="0" w:space="0" w:color="auto"/>
            <w:left w:val="none" w:sz="0" w:space="0" w:color="auto"/>
            <w:bottom w:val="none" w:sz="0" w:space="0" w:color="auto"/>
            <w:right w:val="none" w:sz="0" w:space="0" w:color="auto"/>
          </w:divBdr>
        </w:div>
        <w:div w:id="1943680206">
          <w:marLeft w:val="547"/>
          <w:marRight w:val="0"/>
          <w:marTop w:val="86"/>
          <w:marBottom w:val="0"/>
          <w:divBdr>
            <w:top w:val="none" w:sz="0" w:space="0" w:color="auto"/>
            <w:left w:val="none" w:sz="0" w:space="0" w:color="auto"/>
            <w:bottom w:val="none" w:sz="0" w:space="0" w:color="auto"/>
            <w:right w:val="none" w:sz="0" w:space="0" w:color="auto"/>
          </w:divBdr>
        </w:div>
      </w:divsChild>
    </w:div>
    <w:div w:id="1739480550">
      <w:bodyDiv w:val="1"/>
      <w:marLeft w:val="0"/>
      <w:marRight w:val="0"/>
      <w:marTop w:val="0"/>
      <w:marBottom w:val="0"/>
      <w:divBdr>
        <w:top w:val="none" w:sz="0" w:space="0" w:color="auto"/>
        <w:left w:val="none" w:sz="0" w:space="0" w:color="auto"/>
        <w:bottom w:val="none" w:sz="0" w:space="0" w:color="auto"/>
        <w:right w:val="none" w:sz="0" w:space="0" w:color="auto"/>
      </w:divBdr>
    </w:div>
    <w:div w:id="1781492303">
      <w:bodyDiv w:val="1"/>
      <w:marLeft w:val="0"/>
      <w:marRight w:val="0"/>
      <w:marTop w:val="0"/>
      <w:marBottom w:val="0"/>
      <w:divBdr>
        <w:top w:val="none" w:sz="0" w:space="0" w:color="auto"/>
        <w:left w:val="none" w:sz="0" w:space="0" w:color="auto"/>
        <w:bottom w:val="none" w:sz="0" w:space="0" w:color="auto"/>
        <w:right w:val="none" w:sz="0" w:space="0" w:color="auto"/>
      </w:divBdr>
    </w:div>
    <w:div w:id="1796368163">
      <w:bodyDiv w:val="1"/>
      <w:marLeft w:val="0"/>
      <w:marRight w:val="0"/>
      <w:marTop w:val="0"/>
      <w:marBottom w:val="0"/>
      <w:divBdr>
        <w:top w:val="none" w:sz="0" w:space="0" w:color="auto"/>
        <w:left w:val="none" w:sz="0" w:space="0" w:color="auto"/>
        <w:bottom w:val="none" w:sz="0" w:space="0" w:color="auto"/>
        <w:right w:val="none" w:sz="0" w:space="0" w:color="auto"/>
      </w:divBdr>
    </w:div>
    <w:div w:id="1983726845">
      <w:bodyDiv w:val="1"/>
      <w:marLeft w:val="0"/>
      <w:marRight w:val="0"/>
      <w:marTop w:val="0"/>
      <w:marBottom w:val="0"/>
      <w:divBdr>
        <w:top w:val="none" w:sz="0" w:space="0" w:color="auto"/>
        <w:left w:val="none" w:sz="0" w:space="0" w:color="auto"/>
        <w:bottom w:val="none" w:sz="0" w:space="0" w:color="auto"/>
        <w:right w:val="none" w:sz="0" w:space="0" w:color="auto"/>
      </w:divBdr>
    </w:div>
    <w:div w:id="2073692204">
      <w:bodyDiv w:val="1"/>
      <w:marLeft w:val="0"/>
      <w:marRight w:val="0"/>
      <w:marTop w:val="0"/>
      <w:marBottom w:val="0"/>
      <w:divBdr>
        <w:top w:val="none" w:sz="0" w:space="0" w:color="auto"/>
        <w:left w:val="none" w:sz="0" w:space="0" w:color="auto"/>
        <w:bottom w:val="none" w:sz="0" w:space="0" w:color="auto"/>
        <w:right w:val="none" w:sz="0" w:space="0" w:color="auto"/>
      </w:divBdr>
    </w:div>
    <w:div w:id="21117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u.dk/english/About/Visits/phd-konfer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tnu.edu/nordicsummit2016" TargetMode="External"/><Relationship Id="rId4" Type="http://schemas.openxmlformats.org/officeDocument/2006/relationships/settings" Target="settings.xml"/><Relationship Id="rId9" Type="http://schemas.openxmlformats.org/officeDocument/2006/relationships/hyperlink" Target="http://www.nordicfivetech.or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38DB-2F37-49C4-AE62-80B80ED1C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2191</Words>
  <Characters>13368</Characters>
  <Application>Microsoft Office Word</Application>
  <DocSecurity>0</DocSecurity>
  <Lines>111</Lines>
  <Paragraphs>31</Paragraphs>
  <ScaleCrop>false</ScaleCrop>
  <HeadingPairs>
    <vt:vector size="6" baseType="variant">
      <vt:variant>
        <vt:lpstr>Title</vt:lpstr>
      </vt:variant>
      <vt:variant>
        <vt:i4>1</vt:i4>
      </vt:variant>
      <vt:variant>
        <vt:lpstr>Tittel</vt:lpstr>
      </vt:variant>
      <vt:variant>
        <vt:i4>1</vt:i4>
      </vt:variant>
      <vt:variant>
        <vt:lpstr>Titel</vt:lpstr>
      </vt:variant>
      <vt:variant>
        <vt:i4>1</vt:i4>
      </vt:variant>
    </vt:vector>
  </HeadingPairs>
  <TitlesOfParts>
    <vt:vector size="3" baseType="lpstr">
      <vt:lpstr/>
      <vt:lpstr/>
      <vt:lpstr/>
    </vt:vector>
  </TitlesOfParts>
  <Company>NTNU</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Wergeland Brekke</dc:creator>
  <cp:lastModifiedBy>Christina Murray</cp:lastModifiedBy>
  <cp:revision>4</cp:revision>
  <cp:lastPrinted>2016-05-25T14:28:00Z</cp:lastPrinted>
  <dcterms:created xsi:type="dcterms:W3CDTF">2017-05-04T12:10:00Z</dcterms:created>
  <dcterms:modified xsi:type="dcterms:W3CDTF">2017-05-04T12:12:00Z</dcterms:modified>
</cp:coreProperties>
</file>